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3.1.prioritātes "Ilgtspējīga TEN-T infrastruktūra”  3.1.1.specifiskā atbalsta mērķa “Attīstīt ilgtspējīgu, pret klimatu izturīgu, inteliģentu, drošu un vairākveidu TEN-T infrastruktūru” 3.1.1.6.pasākuma “Lielo ostu publiskās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Kohēzijas fonda finansējumu pasākuma ietvaros piešķir granta veidā.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 punktu, nodrošinot  nosacījumu, ka </w:t>
            </w:r>
            <w:r w:rsidR="00000000" w:rsidRPr="00000000" w:rsidDel="00000000">
              <w:rPr>
                <w:i w:val="1"/>
                <w:rtl w:val="0"/>
              </w:rPr>
              <w:t xml:space="preserve">maksimālais attiecināmais Kohēzijas  fonda finansējuma apmērs ir līdz 85 procentiem no projektā plānotā kopējā attiecināmā finansējuma</w:t>
            </w:r>
            <w:r w:rsidR="00000000" w:rsidRPr="00000000" w:rsidDel="00000000">
              <w:rPr>
                <w:rtl w:val="0"/>
              </w:rPr>
              <w:t xml:space="preserve">. Vēršam uzmanību, ka maksimālā Eiropas Savienības fonda finansējuma intensitāte ir nosakāma 85% apmērā </w:t>
            </w:r>
            <w:r w:rsidR="00000000" w:rsidRPr="00000000" w:rsidDel="00000000">
              <w:rPr>
                <w:u w:val="single"/>
                <w:rtl w:val="0"/>
              </w:rPr>
              <w:t xml:space="preserve">no projektam plānotā kopējā attiecināmā finansējuma</w:t>
            </w:r>
            <w:r w:rsidR="00000000" w:rsidRPr="00000000" w:rsidDel="00000000">
              <w:rPr>
                <w:rtl w:val="0"/>
              </w:rPr>
              <w:t xml:space="preserve">, savukārt atbalsta intensitāte komercdarbības atbalsta piešķiršanas izpratnē ir papildu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un pēc nepieciešamības precizēt noteikumu projekta 16. punktu, kā arī  noteikumu projekta 18. un 30.punktu.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intensitāte šo noteikumu </w:t>
            </w:r>
            <w:r w:rsidR="00000000" w:rsidRPr="00000000" w:rsidDel="00000000">
              <w:rPr>
                <w:rtl w:val="0"/>
              </w:rPr>
              <w:t xml:space="preserve">14.2. </w:t>
            </w:r>
            <w:r w:rsidR="00000000" w:rsidRPr="00000000" w:rsidDel="00000000">
              <w:rPr>
                <w:rtl w:val="0"/>
              </w:rPr>
              <w:t xml:space="preserve">apakšpunkt</w:t>
            </w:r>
            <w:r w:rsidR="00000000" w:rsidRPr="00000000" w:rsidDel="00000000">
              <w:rPr>
                <w:rtl w:val="0"/>
              </w:rPr>
              <w:t xml:space="preserve">ā norādītās darbības īstenošanai ir līdz 85% apmērā no darbības īstenošanas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salāgot noteikuma projekta </w:t>
            </w:r>
            <w:r w:rsidR="00000000" w:rsidRPr="00000000" w:rsidDel="00000000">
              <w:rPr>
                <w:i w:val="1"/>
                <w:rtl w:val="0"/>
              </w:rPr>
              <w:t xml:space="preserve">III. Atbalstāmās darbības un izmaksas</w:t>
            </w:r>
            <w:r w:rsidR="00000000" w:rsidRPr="00000000" w:rsidDel="00000000">
              <w:rPr>
                <w:rtl w:val="0"/>
              </w:rPr>
              <w:t xml:space="preserve"> minēto atbalsta intensitāti ar </w:t>
            </w:r>
            <w:r w:rsidR="00000000" w:rsidRPr="00000000" w:rsidDel="00000000">
              <w:rPr>
                <w:i w:val="1"/>
                <w:rtl w:val="0"/>
              </w:rPr>
              <w:t xml:space="preserve">V. Atbalsta piemērošanas nosacījumi</w:t>
            </w:r>
            <w:r w:rsidR="00000000" w:rsidRPr="00000000" w:rsidDel="00000000">
              <w:rPr>
                <w:rtl w:val="0"/>
              </w:rPr>
              <w:t xml:space="preserve">, ņemot vērā pasākuma īstenošanā atbalstāmās darbības, kas noteiktas MK noteikumu 14.1. un 14.2. apakšpunktos un vienlaikus novērst informācijas dublēšanos (piem., MK noteikumu 16. un 30.punkts).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Lodziņa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īstenošanas gaitā radušās sadārdzinājuma izmaksas finansējuma saņēmējs sedz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atbalsts tiek piešķirts kā komercdarbības atbalsts, projekta īstenošanas gaitā radušās sadārdzinājuma izmaksas finansējuma saņēmējs sedz no saviem līdzekļiem, kas brīvi no jebkāda komercdarbības atbalsta. Attiecīgi lūdzam papildināt noteikumu projekta 26.punktu.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Atbalsta piemērošanas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par komercdarbības atbalsta kumulācijas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piešķirot atbalstu saskaņā ar Regulas (ES) 651/2014 56 b) pantu, jāievēro Regulas (ES) 651/2014 1. panta 4. punkta a) apakšpunktā noteiktais, līdz ar to lūdzam papildināt noteikumu projektu ar normu, kas paredz pārbaudīt, vai uz finansējuma saņēmēju neattiecas neizpildīts līdzekļu atgūšanas rīkojums.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Komercdarbības atbalsta piešķiršanas diena ir diena darbību īstenošanai saskaņā ar Regulas (ES) Nr.651/2014 nosacījumiem ir diena, kad finansējuma saņēmējam tiek paziņots par projekta atbilstību visām izvirzītajām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noteikumu projekta būtu skaidri saprotams, kurš brīdis tiek uzskatīts par atbalsta piešķiršanas dienu, ar kuru iestājas noteiktas tiesiskās sekas, procesuālās darbības un termiņi, lūdzam precizēt noteikumu projekta 35. punkta redakciju,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komercdarbības atbalsta piešķiršanas brīdi uzskata dienu, kad pieņemts atbalsta sniedzēja lēmums par projekta apstiprināšanu vai atzinums par nosacījumu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5.4.1.tabulu papildināt ar atbilstošo noteikumu projekta punktu izvērtējumu atbilstoši Regulas (ES) Nr. 651/2014 attiecīgajām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ietvaros līdz 2029. gada 31. decembrim ir sasniedzams šāds specifiskais iznākuma rādītājs: "Ostu skaits, kurās veiktas investīcijas videi draudzīgas ostu publiskās infrastruktūras attīstībā – divas ostas".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3.punktā precizēt rādītāja nosaukumu atbilstoši Eiropas Savienības kohēzijas politikas programmā 2021.-2027.gadam (turpmāk - Programma) plānotajam ("</w:t>
            </w:r>
            <w:r w:rsidR="00000000" w:rsidRPr="00000000" w:rsidDel="00000000">
              <w:rPr>
                <w:i w:val="1"/>
                <w:rtl w:val="0"/>
              </w:rPr>
              <w:t xml:space="preserve">Ostu skaits, kurās veiktas investīcijas publiskās infrastruktūras attīstībā, t.sk., videi draudzīgas ostas infrastruktūras attīstībā, alternatīvo degvielu pieejamības, elektrotīkla pieslēgumiem pie piestātnēm un drošu kuģošanas apstākļu nodrošināšanā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norādīto informāciju anotācijas 1.3.sadaļas "Pašreizējā situācija, problēmas un risinājumi" 2.rindkopas tekstā, norādot, ka finansējuma saņēmēji būs Liepājas speciālās ekonomiskās zonas pārvalde un Ventspils brīvostas pārvalde, nevis Rīgas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Atbalstu saskaņā ar šajos noteikumos minētajiem nosacījumiem izmaksā Centrālā finanšu un līgumu aģentūra (turpmāk – aģentūra), noslēdzot vienošanos ar finansējuma saņēmējiem par šo noteikumu 9.punktā minētā finansējuma izlietošanas un uzraudzības kārtību, kā arī citiem projektu īstenošanas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8.punktu, jo nav viennozīmīgi skaidra punktā iekļautās normas lietderība un šī punkta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arī noteikumu projekta 40.1.apakšpunktu, aizstājot vārdu "aģentūra" ar vārdiem "sadarbības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plānotais kopējais finansējums ir 9 545 881 </w:t>
            </w:r>
            <w:r w:rsidR="00000000" w:rsidRPr="00000000" w:rsidDel="00000000">
              <w:rPr>
                <w:i w:val="1"/>
                <w:rtl w:val="0"/>
              </w:rPr>
              <w:t xml:space="preserve">euro</w:t>
            </w:r>
            <w:r w:rsidR="00000000" w:rsidRPr="00000000" w:rsidDel="00000000">
              <w:rPr>
                <w:rtl w:val="0"/>
              </w:rPr>
              <w:t xml:space="preserve">, tai skaitā Eiropas Savienības Kohēzijas fonda finansējums 8 113 999 </w:t>
            </w:r>
            <w:r w:rsidR="00000000" w:rsidRPr="00000000" w:rsidDel="00000000">
              <w:rPr>
                <w:i w:val="1"/>
                <w:rtl w:val="0"/>
              </w:rPr>
              <w:t xml:space="preserve">euro </w:t>
            </w:r>
            <w:r w:rsidR="00000000" w:rsidRPr="00000000" w:rsidDel="00000000">
              <w:rPr>
                <w:rtl w:val="0"/>
              </w:rPr>
              <w:t xml:space="preserve">(tai skaitā elastības finansējuma apjoms – 1 282 414 </w:t>
            </w:r>
            <w:r w:rsidR="00000000" w:rsidRPr="00000000" w:rsidDel="00000000">
              <w:rPr>
                <w:i w:val="1"/>
                <w:rtl w:val="0"/>
              </w:rPr>
              <w:t xml:space="preserve">euro</w:t>
            </w:r>
            <w:r w:rsidR="00000000" w:rsidRPr="00000000" w:rsidDel="00000000">
              <w:rPr>
                <w:rtl w:val="0"/>
              </w:rPr>
              <w:t xml:space="preserve">) un privātais finansējums – ne mazāks kā 1 431 882 </w:t>
            </w:r>
            <w:r w:rsidR="00000000" w:rsidRPr="00000000" w:rsidDel="00000000">
              <w:rPr>
                <w:i w:val="1"/>
                <w:rtl w:val="0"/>
              </w:rPr>
              <w:t xml:space="preserve">euro</w:t>
            </w:r>
            <w:r w:rsidR="00000000" w:rsidRPr="00000000" w:rsidDel="00000000">
              <w:rPr>
                <w:rtl w:val="0"/>
              </w:rPr>
              <w:t xml:space="preserve"> (tai skaitā elastības finansējuma apjoms 226 308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10.punktā plānoto finansējumu tā, lai Eiropas Savienības kohēzijas fonda finansējums nepārsniegtu 85% no kopējā plānotā finansējuma. Lūdzam, veicot precizējumus, salāgot informāciju par pieejamo un plānoto finansējumu ar anotācijā norādīto.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Pasākuma atbalstāmo darbību ietvaros ir attiecināms pievienotās vērtības nodoklis tiešajām attiecināmajām izmaksām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 panta 1. punkta “c” apakšpunkta nosacījumiem, ja tas nav atgūstams.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25.punktu, papildinot to aiz vārdiem "ja tas nav atgūstams" ar vārdiem "</w:t>
            </w:r>
            <w:r w:rsidR="00000000" w:rsidRPr="00000000" w:rsidDel="00000000">
              <w:rPr>
                <w:u w:val="single"/>
                <w:rtl w:val="0"/>
              </w:rPr>
              <w:t xml:space="preserve">atbilstoši normatīvajiem aktiem nodokļu politikas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projekta iesniedzēja sagatavotu izvērtējumu par komercdarbības atbalstu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kurām darbībām atbilstoši noteikumu projekta 14. punktam izvērtējums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sniegt skaidrojumu, kāds izvērtējums par komercdarbības atbalstu šajā gadījumā ir domāts (piemēram, vai izvērtējums saskaņā ar 4 komercdarbības atbalsta pazīmēm).  Papildus, lūdzam izvērtēt vai komercdarbības atbalsta izvērtējums ir nepieciešams kā papildus pielikums projekta iesniegumam vai var tikt iekļauts projekta iesniegumā, lai samazinātu papildus iesniedzamo dokumentu skaitu projekta iesniedzējam.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Putniņa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Finansējuma saņēmējs nodrošina, ka šo noteikumu </w:t>
            </w:r>
            <w:r w:rsidR="00000000" w:rsidRPr="00000000" w:rsidDel="00000000">
              <w:rPr>
                <w:rtl w:val="0"/>
              </w:rPr>
              <w:t xml:space="preserve">14.1. </w:t>
            </w:r>
            <w:r w:rsidR="00000000" w:rsidRPr="00000000" w:rsidDel="00000000">
              <w:rPr>
                <w:rtl w:val="0"/>
              </w:rPr>
              <w:t xml:space="preserve">apakšpunktā</w:t>
            </w:r>
            <w:r w:rsidR="00000000" w:rsidRPr="00000000" w:rsidDel="00000000">
              <w:rPr>
                <w:rtl w:val="0"/>
              </w:rPr>
              <w:t xml:space="preserve">  īstenotās darbības rezultātā radītās ostas infrastruktūra saskaņā ar Regulas (ES) Nr.651/2014 56.b panta 7.punktā noteikto ieinteresētajiem lietotājiem pieejama vienlīdzīgā un nediskriminējošā veidā atbilstoši tirgus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Regulas (ES) Nr.651/2014 56.b panta punktu, saskaņā ar minēto regulu.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Finansējuma saņēmējs nodrošina, ka šo noteikumu 14.1. apakšpunktā  īstenotās darbības rezultātā radītās ostas infrastruktūra saskaņā ar Regulas (ES) Nr.651/2014 56.b panta </w:t>
            </w:r>
            <w:r w:rsidR="00000000" w:rsidRPr="00000000" w:rsidDel="00000000">
              <w:rPr>
                <w:b w:val="1"/>
                <w:rtl w:val="0"/>
              </w:rPr>
              <w:t xml:space="preserve">8.punktā</w:t>
            </w:r>
            <w:r w:rsidR="00000000" w:rsidRPr="00000000" w:rsidDel="00000000">
              <w:rPr>
                <w:rtl w:val="0"/>
              </w:rPr>
              <w:t xml:space="preserve"> noteikto ieinteresētajiem lietotājiem pieejama vienlīdzīgā un nediskriminējošā veidā atbilstoši tirgus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Putniņa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sadaļā "Citu horizontālo principu ievērošana" [..projekta iesnieguma vērtēšanā tiks piemērots HP VINPI specifiskais atbilstības kritērijs un sociāli atbildīgs iepirkums.] ar atsauci uz inovatīva iepirkuma piemērošanu atbilstoši MK noteikumu 42.12.apakšpunktam.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Lodziņa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24-TA-375</w:t>
    </w:r>
    <w:r>
      <w:br/>
    </w:r>
    <w:r w:rsidR="00000000" w:rsidRPr="00000000" w:rsidDel="00000000">
      <w:rPr>
        <w:rtl w:val="0"/>
      </w:rPr>
      <w:t xml:space="preserve">Izdrukāts 12.06.2024.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24-TA-375</w:t>
    </w:r>
    <w:r>
      <w:br/>
    </w:r>
    <w:r w:rsidR="00000000" w:rsidRPr="00000000" w:rsidDel="00000000">
      <w:rPr>
        <w:rtl w:val="0"/>
      </w:rPr>
      <w:t xml:space="preserve">Izdrukāts 12.06.2024.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Atzinumi_24-TA-375.docx</dc:title>
</cp:coreProperties>
</file>

<file path=docProps/custom.xml><?xml version="1.0" encoding="utf-8"?>
<Properties xmlns="http://schemas.openxmlformats.org/officeDocument/2006/custom-properties" xmlns:vt="http://schemas.openxmlformats.org/officeDocument/2006/docPropsVTypes"/>
</file>