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Nacionālās kiberdrošības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Nacionālajam kiberdrošības centram un Digitālās drošības uzraudzības komitejai ir tiesības regulāri pieprasīt un saņemt apkopotu informāciju no nozaru ministrijām par to pārraudzībā esošajiem būtisko un svarīgo pakalpojumu 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nozaru ministrijām nav pieejama informācija par to pārraudzībā esošajiem būtisko un svarīgo pakalpojumu sniedzējiem. Nozaru vidējos un lielos komersantus var identificēt pēc darbinieku skaita, gada apgrozījuma vai gada bilances kopsummas, kas pārsniedz Eiropas Komisijas 2014.gada 17.jūnija Regulas (ES) Nr. 651/2014, ar ko noteiktas atbalsta kategorijas atzīst par saderīgām ar iekšējo tirgu, piemērojot Līguma 107. un 108.pantu, I pielikuma 2.pantā noteiktās vidējā uzņēmuma kategorijai atbilstošās vērtības. Ministrijai nav tiesības pieprasīt un komersantiem nav pienākums regulāri sniegt informāciju par darbinieku skaitu, gada apgrozījuma vai gada bilances kopsummu. Vienlaikus, valsts iestādēm, kā Valsts ieņēmumu dienestam un Uzņēmumu reģistram, nav pienākums regulāri sniegt nozares ministrijai informāciju par visiem nozares komersantiem un to darbinieku skaitu, gada apgrozījuma vai gada bilances kopsummu. Ņemot vērā minēto, starpnozaru sanāksmē nepieciešams rast kopīgu, visām nozarēm vienotu risinājumu, kas nodrošinātu regulāru, savlaicīgu un automātisku pakalpojumu sniedzēju uzraudzību, lai identificētu būtiskos un svarīgos pakalpojumu sniedzējus.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Kalenda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Aizsardzība pret pakalpojumatteices kiberuzbrukumiem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likumprojekta 33.panta nosaukumu jaunā redakcijā, attiecīgi precizējot likumprojekta 33.panta 1., 2. un 4.punkta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“33.pants. Aizsardzība pret pakalpojumatteices un IT sistēmu kontroles kiberuzbrukumiem.”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22.12.2022. 21.56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22.12.2022. 21.56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Atzinumi_22-TA-3012.docx</dc:title>
</cp:coreProperties>
</file>

<file path=docProps/custom.xml><?xml version="1.0" encoding="utf-8"?>
<Properties xmlns="http://schemas.openxmlformats.org/officeDocument/2006/custom-properties" xmlns:vt="http://schemas.openxmlformats.org/officeDocument/2006/docPropsVTypes"/>
</file>