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18.pantā, ar kuru tiek papildināts likums ar 20.</w:t>
            </w:r>
            <w:r w:rsidR="00000000" w:rsidRPr="00000000" w:rsidDel="00000000">
              <w:rPr>
                <w:vertAlign w:val="superscript"/>
                <w:rtl w:val="0"/>
              </w:rPr>
              <w:t xml:space="preserve">1</w:t>
            </w:r>
            <w:r w:rsidR="00000000" w:rsidRPr="00000000" w:rsidDel="00000000">
              <w:rPr>
                <w:rtl w:val="0"/>
              </w:rPr>
              <w:t xml:space="preserve"> pantu, tā ceturtās daļas otrajā teikumā ir dota atsauce uz šā panta sesto daļu, kas regulē iespējas jebkurai fiziskai vai juridiskajai personai izveidot elektroenerģijas cenu salīdzināšanas rīku. Ņemot vērā, ka atbilstoši šā panta piektajai daļai Regulators uztur publiski pieejamu centralizētu cenu salīdzināšanas rīku reģistru, tad būtu izvērtējams, vai rēķinā nebūtu attēlojama atsauce uz Regulatora tīmekļvietni, kur lietotāji var iepazīties ar visiem pieejamajiem cenu salīdzināšanas rīkiem, jo pretējā gadījumā tirgotajiem ikreiz pirms rēķinu izrakstīšanas būtu jāveic pārbaude Regulatora reģistrā un jāpārliecinās vai vēl kāds nenodrošina centralizētu cenu salīdzināšanas rīku, kas varētu radīt administratīvo slogu tirgotājiem.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atkārtoti vērš uzmanību, ka tiešo līniju izveide kopumā valstī var radīt situāciju, kurā tiek izbūvēta paralēla fizisko vai juridisko personu infrastruktūra, kura netiek pilnībā noslogota. Turklāt tādu izveide var sarežģīt citas jebkāda veida infrastruktūras izbūvi, kurai paredzēts šķērsot šo līniju. Ilgtermiņā privātu elektrolīniju izbūve, tām nākotnē netiekot atbilstoši apsaimniekotām vai to īpašniekiem bankrotējot, var radīt elektrodrošības riskus visai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likumprojekta 1.pantā ietvertais 47.punkts definēt tiešo līniju, kas ir </w:t>
            </w:r>
            <w:r w:rsidR="00000000" w:rsidRPr="00000000" w:rsidDel="00000000">
              <w:rPr>
                <w:i w:val="1"/>
                <w:rtl w:val="0"/>
              </w:rPr>
              <w:t xml:space="preserve">elektrolīnija, kas sasaista elektroenerģijas ražošanas objektu ar elektroenerģijas sistēmai nepieslēgtu (izolētu) galalietotāja objektu, vai elektrolīnija, kas sasaista elektroenerģijas ražošanas objektu ar attiecīgā elektroenerģijas ražotāja saistītā uzņēmuma objektu</w:t>
            </w:r>
            <w:r w:rsidR="00000000" w:rsidRPr="00000000" w:rsidDel="00000000">
              <w:rPr>
                <w:rtl w:val="0"/>
              </w:rPr>
              <w:t xml:space="preserve">. Respektīvi, minētais punkts izšķir divus iespējamos gadījumus, kad ir iespējams izbūvēt tiešo līniju. Savukārt, likumprojekta 25.pantā ietvertais regulējums nosaka kritērijus, kādi ir jāizpilda tiešās līnijas ierīkošanai. Minētā panta otrās daļas 3.punktā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(2)Tiešo līniju, kas sasaista elektroenerģijas ražošanas objektu ar attiecīgā elektroenerģijas ražotāja saistītā uzņēmuma objektu, var ierīkot, ja ievēroti visi šādi kritēriji:</w:t>
            </w:r>
            <w:r w:rsidR="00000000" w:rsidRPr="00000000" w:rsidDel="00000000">
              <w:rPr>
                <w:i w:val="1"/>
                <w:rtl w:val="0"/>
              </w:rPr>
              <w:t xml:space="preserve">3)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normas otrā daļa regulē gadījumus, kad tiešo līniju var izveidot starp savstarpēji saistītu ražotāju un tā objektu, tad nebūtu samērīgi šādos gadījumos, kā vienu no kritērijiem paredzēt noslēgtu vienošanos, jo pēc būtības tas nozīmētu, ka ražotājam būtu jānoslēdz vienošanās pašam ar sevi. Gadījumā, ja tāds ir bijis mērķis, tad lūdzam izvērtēt vai termins "galalietotājs" tiek lietots atbilstoši tam, ko plānots ar normu noregulēt.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107., 108.,109., 110., 111.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Šā likuma 29.</w:t>
            </w:r>
            <w:r w:rsidR="00000000" w:rsidRPr="00000000" w:rsidDel="00000000">
              <w:rPr>
                <w:vertAlign w:val="superscript"/>
                <w:rtl w:val="0"/>
              </w:rPr>
              <w:t xml:space="preserve">2</w:t>
            </w:r>
            <w:r w:rsidR="00000000" w:rsidRPr="00000000" w:rsidDel="00000000">
              <w:rPr>
                <w:rtl w:val="0"/>
              </w:rPr>
              <w:t xml:space="preserve"> panta astoņpadsmitās daļas 3. punktā sadales sistēmas operatoriem noteiktais pienākums ir piemērojams līdz brīdim, kad elektroenerģijas tirgotāji un sadales sistēmas operatori uzsāk datu platformas lietošanu, bet ne ilgāk kā līdz 2023.gada 10.aprīlim.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Ministru kabinets līdz 2024.gada 29.februārim izdod šā likuma 20.</w:t>
            </w:r>
            <w:r w:rsidR="00000000" w:rsidRPr="00000000" w:rsidDel="00000000">
              <w:rPr>
                <w:vertAlign w:val="superscript"/>
                <w:rtl w:val="0"/>
              </w:rPr>
              <w:t xml:space="preserve">1</w:t>
            </w:r>
            <w:r w:rsidR="00000000" w:rsidRPr="00000000" w:rsidDel="00000000">
              <w:rPr>
                <w:rtl w:val="0"/>
              </w:rPr>
              <w:t xml:space="preserve"> 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Regulators līdz 2024.gada 29.februārim izdod šā likuma 20.</w:t>
            </w:r>
            <w:r w:rsidR="00000000" w:rsidRPr="00000000" w:rsidDel="00000000">
              <w:rPr>
                <w:vertAlign w:val="superscript"/>
                <w:rtl w:val="0"/>
              </w:rPr>
              <w:t xml:space="preserve">3</w:t>
            </w:r>
            <w:r w:rsidR="00000000" w:rsidRPr="00000000" w:rsidDel="00000000">
              <w:rPr>
                <w:rtl w:val="0"/>
              </w:rPr>
              <w:t xml:space="preserve"> panta trešajā daļā minēto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Regulators trīs mēnešu laikā no šā likuma 20.</w:t>
            </w:r>
            <w:r w:rsidR="00000000" w:rsidRPr="00000000" w:rsidDel="00000000">
              <w:rPr>
                <w:vertAlign w:val="superscript"/>
                <w:rtl w:val="0"/>
              </w:rPr>
              <w:t xml:space="preserve">1</w:t>
            </w:r>
            <w:r w:rsidR="00000000" w:rsidRPr="00000000" w:rsidDel="00000000">
              <w:rPr>
                <w:rtl w:val="0"/>
              </w:rPr>
              <w:t xml:space="preserve">panta ceturtajā daļā minēto Ministru kabineta noteikumu spēkā stāšanās izdod šā likuma 20.</w:t>
            </w:r>
            <w:r w:rsidR="00000000" w:rsidRPr="00000000" w:rsidDel="00000000">
              <w:rPr>
                <w:vertAlign w:val="superscript"/>
                <w:rtl w:val="0"/>
              </w:rPr>
              <w:t xml:space="preserve">1</w:t>
            </w:r>
            <w:r w:rsidR="00000000" w:rsidRPr="00000000" w:rsidDel="00000000">
              <w:rPr>
                <w:rtl w:val="0"/>
              </w:rPr>
              <w:t xml:space="preserve">panta piektajā daļā minēto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publicē, sākot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Ministru kabinets līdz 2024. gada 30.jūnijam izdod šā likuma 32.panta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Grozījumi šā likuma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w:t>
            </w:r>
            <w:r w:rsidR="00000000" w:rsidRPr="00000000" w:rsidDel="00000000">
              <w:rPr>
                <w:rtl w:val="0"/>
              </w:rPr>
              <w:t xml:space="preserve"> panta pirmajā daļā stājas spēkā 2025.gada 1.janvārī.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likumprojketa pārejas noteikumos ietvertos termiņus, jo īpaši pārejas noteikumu 107. un 111.punktā minētos termiņus, ņemot vērā, ka norādītie termiņu ir pagājuši.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