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23-TA-1000: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2009. gada 15. septembra noteikumos Nr. 1065 "Noteikumi par aizdevumiem sīko (mikro), mazo un vidējo saimnieciskās darbības veicēju un lauksaimniecības un mežsaimniecības pakalpojumu kooperatīvo sabiedrību attīstības veicināšanai"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(Programmas novērtējums)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Sabiedrība "Altum" saimnieciskās darbības veicējiem sniedz apgrozāmo līdzekļu aizdevumus un investīciju aizdevumus.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Joprojām uzturam izziņas 17.punktā ietverto iebildumu un lūdzam noteikumu projektā noteikt, ka 1.2.3.5.pasākuma ietvaros apgrozāmo līdzekļu investīcijas ir pakārtotas investīciju aizdevumiem, proti, saimnieciskās darbības veicējs nedrīkst saņemt apgrozāmo līdzekļu aizdevumu ārpus investīciju aizdevuma (tikai kopā).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5</w:t>
            </w:r>
            <w:r w:rsidR="00000000" w:rsidRPr="00000000" w:rsidDel="00000000">
              <w:rPr>
                <w:rtl w:val="0"/>
              </w:rPr>
              <w:t xml:space="preserve">1. šo noteikumu 5.4 punktā minētā aizdevumu fonda ietvaros visā programmas īstenošanas laikā un 1.2.3.5. pasākumā pēc attiecināmības perioda beigām tiek segtas no atmaksātā publiskā finansējuma par aizdevumiem, kas izsniegti ar Eiropas Reģionālās attīstības fonda finansējumu, ievērojot atbilstoši Attīstības finanšu institūcijas likuma 12. panta trešās daļas prasībām izstrādāto programmu novērtējumu;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un atkārtoti lūdzam papildināt noteikumu projekta 7. punktā izteikto MK noteikumu Nr. 1065 5.</w:t>
            </w:r>
            <w:r w:rsidR="00000000" w:rsidRPr="00000000" w:rsidDel="00000000">
              <w:rPr>
                <w:vertAlign w:val="superscript"/>
                <w:rtl w:val="0"/>
              </w:rPr>
              <w:t xml:space="preserve">5</w:t>
            </w:r>
            <w:r w:rsidR="00000000" w:rsidRPr="00000000" w:rsidDel="00000000">
              <w:rPr>
                <w:rtl w:val="0"/>
              </w:rPr>
              <w:t xml:space="preserve">1. apakšpunktu ar atmaksātā publiskā finansējuma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Mičule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6</w:t>
            </w:r>
            <w:r w:rsidR="00000000" w:rsidRPr="00000000" w:rsidDel="00000000">
              <w:rPr>
                <w:rtl w:val="0"/>
              </w:rPr>
              <w:t xml:space="preserve"> Saskaņā ar Komisijas regulas Nr. 651/2014 2. panta 23. punktu, darbu sākums ir ar ieguldījumu saistītu būvdarbu sākums vai pirmā juridiski saistošā apņemšanās pasūtīt aprīkojumu, vai citas saistības, kas padara ieguldījumu neatgriezenisku, – atkarībā no tā, kas notiek pirmais. Zemes pirkšanu un tādus sagatavošanās darbus kā atļauju saņemšana un priekšizpētes veikšana neuzskata par darbu sākumu. Attiecībā uz pārņemšanu “darbu sākums” ir brīdis, kad tiek iegādāti aktīvi, kas ir tieši saistīti ar iegādāto uzņēmējdarbības vietu.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12.</w:t>
            </w:r>
            <w:r w:rsidR="00000000" w:rsidRPr="00000000" w:rsidDel="00000000">
              <w:rPr>
                <w:vertAlign w:val="superscript"/>
                <w:rtl w:val="0"/>
              </w:rPr>
              <w:t xml:space="preserve">6</w:t>
            </w:r>
            <w:r w:rsidR="00000000" w:rsidRPr="00000000" w:rsidDel="00000000">
              <w:rPr>
                <w:rtl w:val="0"/>
              </w:rPr>
              <w:t xml:space="preserve">punkta redakciju tā, lai būtu skaidrs, ka Komisijas regulas Nr.651/2014 2.panta 23.punkts ir jāņem vērā saimnieciskās darbības veicējam, pretendējot uz atbalstu saskaņā ar Komisijas regulas Nr.651/2014 13., 14., 38., 38.a, 38.b vai 41.pantu, tai skaitā papildinot, ka projekta izmaksas ir attiecināmas vienīgi pie nosacījuma, ka projekts uzsākts (darbi sākti) pēc projekta iesnieguma atbalsta sniedzējinstitūcijā.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šo noteikumu </w:t>
            </w:r>
            <w:r w:rsidR="00000000" w:rsidRPr="00000000" w:rsidDel="00000000">
              <w:rPr>
                <w:rtl w:val="0"/>
              </w:rPr>
              <w:t xml:space="preserve">7.1.</w:t>
            </w:r>
            <w:r w:rsidR="00000000" w:rsidRPr="00000000" w:rsidDel="00000000">
              <w:rPr>
                <w:rtl w:val="0"/>
              </w:rPr>
              <w:t xml:space="preserve"> un </w:t>
            </w:r>
            <w:r w:rsidR="00000000" w:rsidRPr="00000000" w:rsidDel="00000000">
              <w:rPr>
                <w:rtl w:val="0"/>
              </w:rPr>
              <w:t xml:space="preserve">7.2.</w:t>
            </w:r>
            <w:r w:rsidR="00000000" w:rsidRPr="00000000" w:rsidDel="00000000">
              <w:rPr>
                <w:rtl w:val="0"/>
              </w:rPr>
              <w:t xml:space="preserve"> apakšpunktā minētajiem saimnieciskās darbības veicējiem – Komisijas regulas Nr. </w:t>
            </w:r>
            <w:r w:rsidR="00000000" w:rsidRPr="00000000" w:rsidDel="00000000">
              <w:rPr>
                <w:rtl w:val="0"/>
              </w:rPr>
              <w:t xml:space="preserve">1407/2013</w:t>
            </w:r>
            <w:r w:rsidR="00000000" w:rsidRPr="00000000" w:rsidDel="00000000">
              <w:rPr>
                <w:rtl w:val="0"/>
              </w:rPr>
              <w:t xml:space="preserve"> 3. panta 2. punktā noteikto apjomu;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izziņas 36.punktā izteikto iebildumu par to, ka, ievērojot MK noteikumu 14.punktā noteikto, nepieciešams pārskatīt atsauces 19.1.apakšpunktā, proti, iekļaut atsauci arī uz MK noteikumu 7.6.apakšpunktu.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3</w:t>
            </w:r>
            <w:r w:rsidR="00000000" w:rsidRPr="00000000" w:rsidDel="00000000">
              <w:rPr>
                <w:rtl w:val="0"/>
              </w:rPr>
              <w:t xml:space="preserve">4. Komisijas regulas Nr. 651/2014 13. panta "b" punktā noteiktajām nozarēm atbilstoši Komisijas regulas Nr. 651/2014 2. panta 45. un 130. punktā noteiktajām definīcijām un platjoslas tīkla attīstīšanai;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MKN punktā iekļautā ierobežojuma attiecināmību uz MKN ietvaros paredzētajiem atbalsta pasākumiem, jo tas nonāk pretrunā ar MKN III</w:t>
            </w:r>
            <w:r w:rsidR="00000000" w:rsidRPr="00000000" w:rsidDel="00000000">
              <w:rPr>
                <w:vertAlign w:val="superscript"/>
                <w:rtl w:val="0"/>
              </w:rPr>
              <w:t xml:space="preserve">5</w:t>
            </w:r>
            <w:r w:rsidR="00000000" w:rsidRPr="00000000" w:rsidDel="00000000">
              <w:rPr>
                <w:rtl w:val="0"/>
              </w:rPr>
              <w:t xml:space="preserve">. sadaļu "Atbalsts atjaunīgo energoresursu enerģijas izmantošanai, atjaunīgā ūdeņraža ražošanai un augstas efektivitātes koģenerācijai", t.i., atstājot šādu redakciju atbalstu par neatbalstāmajām nozarēm, atbalstu  MKN III</w:t>
            </w:r>
            <w:r w:rsidR="00000000" w:rsidRPr="00000000" w:rsidDel="00000000">
              <w:rPr>
                <w:vertAlign w:val="superscript"/>
                <w:rtl w:val="0"/>
              </w:rPr>
              <w:t xml:space="preserve">5</w:t>
            </w:r>
            <w:r w:rsidR="00000000" w:rsidRPr="00000000" w:rsidDel="00000000">
              <w:rPr>
                <w:rtl w:val="0"/>
              </w:rPr>
              <w:t xml:space="preserve">. sadaļā paredzētajiem mērķiem nevarēs sniegt. Attiecīgi aicinām precizēt MKN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8</w:t>
            </w:r>
            <w:r w:rsidR="00000000" w:rsidRPr="00000000" w:rsidDel="00000000">
              <w:rPr>
                <w:rtl w:val="0"/>
              </w:rPr>
              <w:t xml:space="preserve"> Reģionālo atbalstu saskaņā ar Komisijas regulu Nr.651/2014 saimnieciskās darbības veicējam piešķir, ievērojot Komisijas regulas Nr. 651/2014 1. panta 5. punktā minētos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MKN 21.</w:t>
            </w:r>
            <w:r w:rsidR="00000000" w:rsidRPr="00000000" w:rsidDel="00000000">
              <w:rPr>
                <w:vertAlign w:val="superscript"/>
                <w:rtl w:val="0"/>
              </w:rPr>
              <w:t xml:space="preserve">8</w:t>
            </w:r>
            <w:r w:rsidR="00000000" w:rsidRPr="00000000" w:rsidDel="00000000">
              <w:rPr>
                <w:rtl w:val="0"/>
              </w:rPr>
              <w:t xml:space="preserve">punktu, jo Komisijas regulas Nr.651/2014 1.panta 5.punkta nosacījums attiecas ne tikai uz reģionālo atbalstu, bet arī uz pārējiem atbalsta veidiem, saskaņā ar kuriem tiek piešķirts komercdarbības atbalsts ar Komisijas regulu Nr.651/2014.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w:t>
            </w:r>
            <w:r w:rsidR="00000000" w:rsidRPr="00000000" w:rsidDel="00000000">
              <w:rPr>
                <w:vertAlign w:val="superscript"/>
                <w:rtl w:val="0"/>
              </w:rPr>
              <w:t xml:space="preserve">2</w:t>
            </w:r>
            <w:r w:rsidR="00000000" w:rsidRPr="00000000" w:rsidDel="00000000">
              <w:rPr>
                <w:rtl w:val="0"/>
              </w:rPr>
              <w:t xml:space="preserve">. Aizdevumi energoefektivitātes pakalpojuma sniedzēju naudas plūsmas iegādei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papildināt MKN projekta III.</w:t>
            </w:r>
            <w:r w:rsidR="00000000" w:rsidRPr="00000000" w:rsidDel="00000000">
              <w:rPr>
                <w:vertAlign w:val="superscript"/>
                <w:rtl w:val="0"/>
              </w:rPr>
              <w:t xml:space="preserve">2</w:t>
            </w:r>
            <w:r w:rsidR="00000000" w:rsidRPr="00000000" w:rsidDel="00000000">
              <w:rPr>
                <w:rtl w:val="0"/>
              </w:rPr>
              <w:t xml:space="preserve"> sadaļu "Aizdevumi energoefektivitātes pakalpojuma sniedzēju naudas plūsmas iegādei" ar Komisijas regulas Nr.651/2014 38.b pantu, ietverot korekti visus no tā izrietošos nosacījumus, lai novērstu nepamatotas interpretācijas riskus.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37</w:t>
            </w:r>
            <w:r w:rsidR="00000000" w:rsidRPr="00000000" w:rsidDel="00000000">
              <w:rPr>
                <w:rtl w:val="0"/>
              </w:rPr>
              <w:t xml:space="preserve"> Atbalstu, kas sniegts saskaņā ar Komisijas regulas Nr. 651/2014 38.a pantu, izmanto šādām kopējam ieguldījumu izmaksām, un tās iekļauj projekta attiecināmajās izmaksās, ja tās nepieciešamas, lai sasniegtu augstāku energoefektivitātes līmeni, un veido projekta ietvaros radīto pamatlīdzekļu vērtību: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šī MKN punktā noteikto, ievērojot to, ka Komisijas regulas Nr.651/2014 38.a panta 5.punkts kā attiecināmas paredz tikai tās izmaksas, kas tieši saistītas ar augstāka energoefektivitātes līmeņa sasniegšanu ēkā. Ievērojot minēto, nav skaidrs, kā augstāku energoefektivitātes līmeni ēkā varētu nodrošināt būvlaukuma teritorijas sakārtošana, kā arī lūdzam sniegt skaidrojumu, kas konkrēti tiek saprasts ar citiem pasākumiem. Vienlaikus lūdzam kopumā pārskatīt MKN punktā iekļautās izmaksu pozīcijas, jo atbalsts saskaņā ar Komisijas regulas Nr.651/2014 38.a pantu ir vērsts tieši uz energoefektivitātes paaugstināšanu ēkā. Lūdzam anotācija skaidrot, kā autoruzraudzības un būvuzraudzības izmaksu attiecināšana nodrošina šī principa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37</w:t>
            </w:r>
            <w:r w:rsidR="00000000" w:rsidRPr="00000000" w:rsidDel="00000000">
              <w:rPr>
                <w:rtl w:val="0"/>
              </w:rPr>
              <w:t xml:space="preserve">4. iekšējo un ārējo individuālo un lokālo siltumtīklu un aukstumapgādes sistēmu pārbūve;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Komisijas regulas Nr.651/2014 38.a panta 9.punktā noteikto, lūdzam precizēt  MKN 30.</w:t>
            </w:r>
            <w:r w:rsidR="00000000" w:rsidRPr="00000000" w:rsidDel="00000000">
              <w:rPr>
                <w:vertAlign w:val="superscript"/>
                <w:rtl w:val="0"/>
              </w:rPr>
              <w:t xml:space="preserve">37</w:t>
            </w:r>
            <w:r w:rsidR="00000000" w:rsidRPr="00000000" w:rsidDel="00000000">
              <w:rPr>
                <w:rtl w:val="0"/>
              </w:rPr>
              <w:t xml:space="preserve">4.apakšpunktu, lai nodrošinātu korektu atbilstību Komisijas regulas Nr.651/2014 38.a panta 9.punkta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50</w:t>
            </w:r>
            <w:r w:rsidR="00000000" w:rsidRPr="00000000" w:rsidDel="00000000">
              <w:rPr>
                <w:rtl w:val="0"/>
              </w:rPr>
              <w:t xml:space="preserve"> Atbalstu, kas sniegts saskaņā ar Komisijas regulas Nr. 651/2014 41.pantu, izmanto šādām izmaksām, un tās iekļauj projekta attiecināmajās izmaksās: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sniedzot atbalstu ar Komisijas regulas Nr.651/2014 41.pantu, nepieciešams ievērot šī panta 1.a, 2., 3., 4., 4.a punkti, aicinām pārskatīt un precizēt 30.</w:t>
            </w:r>
            <w:r w:rsidR="00000000" w:rsidRPr="00000000" w:rsidDel="00000000">
              <w:rPr>
                <w:vertAlign w:val="superscript"/>
                <w:rtl w:val="0"/>
              </w:rPr>
              <w:t xml:space="preserve">50</w:t>
            </w:r>
            <w:r w:rsidR="00000000" w:rsidRPr="00000000" w:rsidDel="00000000">
              <w:rPr>
                <w:rtl w:val="0"/>
              </w:rPr>
              <w:t xml:space="preserve"> punkta apakšpunktus, piemēram, 30.</w:t>
            </w:r>
            <w:r w:rsidR="00000000" w:rsidRPr="00000000" w:rsidDel="00000000">
              <w:rPr>
                <w:vertAlign w:val="superscript"/>
                <w:rtl w:val="0"/>
              </w:rPr>
              <w:t xml:space="preserve">50</w:t>
            </w:r>
            <w:r w:rsidR="00000000" w:rsidRPr="00000000" w:rsidDel="00000000">
              <w:rPr>
                <w:rtl w:val="0"/>
              </w:rPr>
              <w:t xml:space="preserve">2.un 30.</w:t>
            </w:r>
            <w:r w:rsidR="00000000" w:rsidRPr="00000000" w:rsidDel="00000000">
              <w:rPr>
                <w:vertAlign w:val="superscript"/>
                <w:rtl w:val="0"/>
              </w:rPr>
              <w:t xml:space="preserve">50</w:t>
            </w:r>
            <w:r w:rsidR="00000000" w:rsidRPr="00000000" w:rsidDel="00000000">
              <w:rPr>
                <w:rtl w:val="0"/>
              </w:rPr>
              <w:t xml:space="preserve">3.apakšpunktu, un iekļaut tajos atsauces uz attiecīgajiem punktiem, tā novēršot nepamatotas interpretācijas riskus.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51</w:t>
            </w:r>
            <w:r w:rsidR="00000000" w:rsidRPr="00000000" w:rsidDel="00000000">
              <w:rPr>
                <w:rtl w:val="0"/>
              </w:rPr>
              <w:t xml:space="preserve"> Piešķirot atbalstu saskaņā ar Komisijas regulas Nr. 651/2014 41. pantu, jāievēro tā 1.a, 2., 3., 4., 4.a punktu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nepamatotas interpretācijas risku, aicinām dzēst 30.51 punkta apakšpunktus, atstājot tikai atsauces uz Komisijas regulas Nr.651/2014 41.panta 1.a, 2., 3., 4., 4.a punktiem.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54</w:t>
            </w:r>
            <w:r w:rsidR="00000000" w:rsidRPr="00000000" w:rsidDel="00000000">
              <w:rPr>
                <w:rtl w:val="0"/>
              </w:rPr>
              <w:t xml:space="preserve"> Attiecināmajām izmaksām, saskaņā ar Komisijas regulas Nr. 651/2014 41. panta 7. un 8. punktu, kopējā atbalsta intensitāte nepārsniedz: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atsauci uz Komisijas regulas Nr.651/2014 7.punktu, norādot konkrētu tā apakšpunktu, saskaņā ar kuru tiek noteikta kopējā atbalsta intensitāte, proti, Komisijas regulas Nr.651/2014 38.b panta 7.punkta b)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2</w:t>
            </w:r>
            <w:r w:rsidR="00000000" w:rsidRPr="00000000" w:rsidDel="00000000">
              <w:rPr>
                <w:rtl w:val="0"/>
              </w:rPr>
              <w:t xml:space="preserve">1. nodrošina informācijas pieejamību 10 gadus, skaitot no dienas, kad ir piešķirts pēdējais atbalsts saskaņā ar atbalsta shēmu, un saimnieciskās darbības veicējs par atbalstu saskaņā ar Komisijas regulu Nr. 651/2014 vai de minimis atbalstu, kas piešķirts saskaņā ar Komisijas regulu Nr. 1407/2013, Komisijas regulu Nr. 1408/2013, Komisijas regulu Nr. 717/2014, Komisijas regulu Nr. 2022/2472 vai Komisijas regulu Nr. 2022/2473, nodrošina informācijas pieejamību 10 gadus no atbalsta piešķiršanas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un precizēt attiecīgo MKN projekta punktu, nodrošinot korektu atbilstību Komisijas regulas Nr.651/2014 12.panta 1.punktam, jo informācijas pieejamības nosacījums attiecas ne tikai uz Sabiedrību "Altum", bet arī uz līdzfinansējuma saņēmēju.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4</w:t>
            </w:r>
            <w:r w:rsidR="00000000" w:rsidRPr="00000000" w:rsidDel="00000000">
              <w:rPr>
                <w:rtl w:val="0"/>
              </w:rPr>
              <w:t xml:space="preserve"> Ja tiek pārkāptas šajos noteikumos noteiktās komercdarbības atbalsta kontroles normas, tostarp nosacījumi, kas izriet no Komisijas regulas Nr. 651/2014, Komisijas regulas Nr. </w:t>
            </w:r>
            <w:r w:rsidR="00000000" w:rsidRPr="00000000" w:rsidDel="00000000">
              <w:rPr>
                <w:rtl w:val="0"/>
              </w:rPr>
              <w:t xml:space="preserve">1407/2013</w:t>
            </w:r>
            <w:r w:rsidR="00000000" w:rsidRPr="00000000" w:rsidDel="00000000">
              <w:rPr>
                <w:rtl w:val="0"/>
              </w:rPr>
              <w:t xml:space="preserve">, Komisijas regulas Nr. 2022/2472, Komisijas regulas Nr. 2022/2473, Komisijas regulas Nr. 1408/2013 vai Komisijas regulas Nr. 717/2014, līdzfinansējuma saņēmējam ir pienākums atmaksāt sabiedrībai "Altum" visu šo noteikumu ietvaros saņemto nelikumīgo komercdarbības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Eiropas Savienības tiesu judikatūrai atbilstošu pienākumu atgūt nelikumīgo komercdarbības atbalstu, aicinām noteikumu projekta 37.4 punktu precizēt, atgūšanas nosacījumu par ar Komisijas regulu Nr.651/2014 piešķirtā atbalsta atgūšanu ietverot atsevišķā punktā, piemēram,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pārkāpti Komisijas regulas Nr.651/2014 nosacījumi, finansējuma saņēmējam ir pienākums atmaksāt sadarbības iestādei visu projekta ietvaros saņemto nelikumīgo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4</w:t>
            </w:r>
            <w:r w:rsidR="00000000" w:rsidRPr="00000000" w:rsidDel="00000000">
              <w:rPr>
                <w:rtl w:val="0"/>
              </w:rPr>
              <w:t xml:space="preserve"> Ja tiek pārkāptas šajos noteikumos noteiktās komercdarbības atbalsta kontroles normas, tostarp nosacījumi, kas izriet no Komisijas regulas Nr. 651/2014, Komisijas regulas Nr. </w:t>
            </w:r>
            <w:r w:rsidR="00000000" w:rsidRPr="00000000" w:rsidDel="00000000">
              <w:rPr>
                <w:rtl w:val="0"/>
              </w:rPr>
              <w:t xml:space="preserve">1407/2013</w:t>
            </w:r>
            <w:r w:rsidR="00000000" w:rsidRPr="00000000" w:rsidDel="00000000">
              <w:rPr>
                <w:rtl w:val="0"/>
              </w:rPr>
              <w:t xml:space="preserve">, Komisijas regulas Nr. 2022/2472, Komisijas regulas Nr. 2022/2473, Komisijas regulas Nr. 1408/2013 vai Komisijas regulas Nr. 717/2014, līdzfinansējuma saņēmējam ir pienākums atmaksāt sabiedrībai "Altum" visu šo noteikumu ietvaros saņemto nelikumīgo komercdarbības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Eiropas Savienības tiesu judikatūrai atbilstošu pienākumu atgūt nelikumīgo komercdarbības atbalstu, aicinām noteikumu projekta 37.</w:t>
            </w:r>
            <w:r w:rsidR="00000000" w:rsidRPr="00000000" w:rsidDel="00000000">
              <w:rPr>
                <w:vertAlign w:val="superscript"/>
                <w:rtl w:val="0"/>
              </w:rPr>
              <w:t xml:space="preserve">4</w:t>
            </w:r>
            <w:r w:rsidR="00000000" w:rsidRPr="00000000" w:rsidDel="00000000">
              <w:rPr>
                <w:rtl w:val="0"/>
              </w:rPr>
              <w:t xml:space="preserve"> punktu precizēt, atgūšanas nosacījumu par ar Komisijas regulu Nr.1407/2013 piešķirtā atbalsta atgūšanu ietverot atsevišķā punktā, piemēram,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pārkāpti Komisijas regulas Nr. 1407/2013 nosacījumi, finansējuma saņēmējam ir pienākums atmaksāt sadarbības iestādei visu projekta ietvaros saņemto nelikumīgo de minimis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1.2.3.5.pasākuma finansējumu atbilstoši Eiropas Savienības kohēzijas politikas programmas 2021.-2027.gadam finanšu instrumentu īstenošanas noteikumu pielikumā noteiktajam plānotajam finansējuma apmēram, aizstājot Eiropas Reģionālās attīstības fonda finansējumu 13 489 500 </w:t>
            </w:r>
            <w:r w:rsidR="00000000" w:rsidRPr="00000000" w:rsidDel="00000000">
              <w:rPr>
                <w:i w:val="1"/>
                <w:rtl w:val="0"/>
              </w:rPr>
              <w:t xml:space="preserve">euro </w:t>
            </w:r>
            <w:r w:rsidR="00000000" w:rsidRPr="00000000" w:rsidDel="00000000">
              <w:rPr>
                <w:rtl w:val="0"/>
              </w:rPr>
              <w:t xml:space="preserve">ar 13 313 429 </w:t>
            </w:r>
            <w:r w:rsidR="00000000" w:rsidRPr="00000000" w:rsidDel="00000000">
              <w:rPr>
                <w:i w:val="1"/>
                <w:rtl w:val="0"/>
              </w:rPr>
              <w:t xml:space="preserve">euro </w:t>
            </w:r>
            <w:r w:rsidR="00000000" w:rsidRPr="00000000" w:rsidDel="00000000">
              <w:rPr>
                <w:rtl w:val="0"/>
              </w:rPr>
              <w:t xml:space="preserve">un valsts budžeta finansējumu 2 380 500 </w:t>
            </w:r>
            <w:r w:rsidR="00000000" w:rsidRPr="00000000" w:rsidDel="00000000">
              <w:rPr>
                <w:i w:val="1"/>
                <w:rtl w:val="0"/>
              </w:rPr>
              <w:t xml:space="preserve">euro </w:t>
            </w:r>
            <w:r w:rsidR="00000000" w:rsidRPr="00000000" w:rsidDel="00000000">
              <w:rPr>
                <w:rtl w:val="0"/>
              </w:rPr>
              <w:t xml:space="preserve">ar 2 349 429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anotācijas 3.sadaļas 6.1.apakšpunktam provizoriskais finansējuma izlietojums 2023.gadā ir 4 698 85</w:t>
            </w:r>
            <w:r w:rsidR="00000000" w:rsidRPr="00000000" w:rsidDel="00000000">
              <w:rPr>
                <w:u w:val="single"/>
                <w:rtl w:val="0"/>
              </w:rPr>
              <w:t xml:space="preserve">8</w:t>
            </w:r>
            <w:r w:rsidR="00000000" w:rsidRPr="00000000" w:rsidDel="00000000">
              <w:rPr>
                <w:rtl w:val="0"/>
              </w:rPr>
              <w:t xml:space="preserve"> euro, savukārt 3.ailē ir atspoguļota ietekme uz budžetu 4 698 85</w:t>
            </w:r>
            <w:r w:rsidR="00000000" w:rsidRPr="00000000" w:rsidDel="00000000">
              <w:rPr>
                <w:u w:val="single"/>
                <w:rtl w:val="0"/>
              </w:rPr>
              <w:t xml:space="preserve">7</w:t>
            </w:r>
            <w:r w:rsidR="00000000" w:rsidRPr="00000000" w:rsidDel="00000000">
              <w:rPr>
                <w:rtl w:val="0"/>
              </w:rPr>
              <w:t xml:space="preserve"> auro apmērā, attiecīgi lūdzam novērst minēto neprecizitāti, kā arī pārcelt 6.1.apakšpunktā sniegto informāciju uz 6.punktu. Papildus, ievērojot, ka aizdevumus sniedz akciju sabiedrība "Attīstības finanšu institūcija Altum", lūdzam izvērtēt punktā “Cita informācija” norādīto ministriju, kura nepieciešamo finansējumu lūgs pārdalīt no 74.resora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programmas rādītāju novērtējuma projekta 4. punktā vadības izdevumu kompensācija no ES fondiem un/vai kompensācija no klientu maksājumiem (atmaksām) ir norādīta lielāka par administratīvo izdevumu par programmas vadību summu, lūdzam papildināt programmas rādītāju novērtējuma projekta 4. punktu ar skaidrojumu, kādēļ ir atšķirība starp šīm pozīcijām, lai novērtējumā norādītā informācija būtu nepārprotama. Vienlaikus vēršam uzmanību, ka, ja vadības izmaksas ir mazākas nekā plānotā kompensācija, tad atmaksu finansējums, iespējams, nav nepieciešams. Lūdzam izvērtēt un pēc nepieciešamības precizēt programmas rādītāju novērtējuma projekta 4.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Mičule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5</w:t>
            </w:r>
            <w:r w:rsidR="00000000" w:rsidRPr="00000000" w:rsidDel="00000000">
              <w:rPr>
                <w:rtl w:val="0"/>
              </w:rPr>
              <w:t xml:space="preserve">1. šo noteikumu 5.4 punktā minētā aizdevumu fonda ietvaros visā programmas īstenošanas laikā un 1.2.3.5. pasākumā pēc attiecināmības perioda beigām tiek segtas no atmaksātā publiskā finansējuma par aizdevumiem, kas izsniegti ar Eiropas Reģionālās attīstības fonda finansējumu, ievērojot atbilstoši Attīstības finanšu institūcijas likuma 12. panta trešās daļas prasībām izstrādāto programmu novērtējumu;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priekšlikumu un lūdzam precizēt noteikumu projekta 7. punktā izteiktajā MK noteikumu Nr. 1065 5.</w:t>
            </w:r>
            <w:r w:rsidR="00000000" w:rsidRPr="00000000" w:rsidDel="00000000">
              <w:rPr>
                <w:vertAlign w:val="superscript"/>
                <w:rtl w:val="0"/>
              </w:rPr>
              <w:t xml:space="preserve">5</w:t>
            </w:r>
            <w:r w:rsidR="00000000" w:rsidRPr="00000000" w:rsidDel="00000000">
              <w:rPr>
                <w:rtl w:val="0"/>
              </w:rPr>
              <w:t xml:space="preserve">1. apakšpunktā atsauci uz 5.</w:t>
            </w:r>
            <w:r w:rsidR="00000000" w:rsidRPr="00000000" w:rsidDel="00000000">
              <w:rPr>
                <w:vertAlign w:val="superscript"/>
                <w:rtl w:val="0"/>
              </w:rPr>
              <w:t xml:space="preserve">4</w:t>
            </w:r>
            <w:r w:rsidR="00000000" w:rsidRPr="00000000" w:rsidDel="00000000">
              <w:rPr>
                <w:rtl w:val="0"/>
              </w:rPr>
              <w:t xml:space="preserve"> punktu (</w:t>
            </w:r>
            <w:r w:rsidR="00000000" w:rsidRPr="00000000" w:rsidDel="00000000">
              <w:rPr>
                <w:b w:val="1"/>
                <w:rtl w:val="0"/>
              </w:rPr>
              <w:t xml:space="preserve">prim</w:t>
            </w:r>
            <w:r w:rsidR="00000000" w:rsidRPr="00000000" w:rsidDel="00000000">
              <w:rPr>
                <w:rtl w:val="0"/>
              </w:rPr>
              <w:t xml:space="preserve">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Mičule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w:t>
            </w:r>
            <w:r w:rsidR="00000000" w:rsidRPr="00000000" w:rsidDel="00000000">
              <w:rPr>
                <w:vertAlign w:val="superscript"/>
                <w:rtl w:val="0"/>
              </w:rPr>
              <w:t xml:space="preserve">2</w:t>
            </w:r>
            <w:r w:rsidR="00000000" w:rsidRPr="00000000" w:rsidDel="00000000">
              <w:rPr>
                <w:rtl w:val="0"/>
              </w:rPr>
              <w:t xml:space="preserve">. Aizdevumi energoefektivitātes pakalpojuma sniedzēju naudas plūsmas iegādei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pārskatīt punktu numerāciju. Noteikumu grozījumu projekta 57.punkts paredz papildināt noteikumus ar 30.</w:t>
            </w:r>
            <w:r w:rsidR="00000000" w:rsidRPr="00000000" w:rsidDel="00000000">
              <w:rPr>
                <w:vertAlign w:val="superscript"/>
                <w:rtl w:val="0"/>
              </w:rPr>
              <w:t xml:space="preserve">12</w:t>
            </w:r>
            <w:r w:rsidR="00000000" w:rsidRPr="00000000" w:rsidDel="00000000">
              <w:rPr>
                <w:rtl w:val="0"/>
              </w:rPr>
              <w:t xml:space="preserve"> punktu, bet šāds punkts noteikumos jau pastāv, proti, to ir jāizsaka jaunajā redakcijā, nevis jāpapildina. Attiecīgi par vienu punktu nobīdās arī turpmākie noteikumu punkti (no 30.</w:t>
            </w:r>
            <w:r w:rsidR="00000000" w:rsidRPr="00000000" w:rsidDel="00000000">
              <w:rPr>
                <w:vertAlign w:val="superscript"/>
                <w:rtl w:val="0"/>
              </w:rPr>
              <w:t xml:space="preserve">13</w:t>
            </w:r>
            <w:r w:rsidR="00000000" w:rsidRPr="00000000" w:rsidDel="00000000">
              <w:rPr>
                <w:rtl w:val="0"/>
              </w:rPr>
              <w:t xml:space="preserve"> līdz 30.</w:t>
            </w:r>
            <w:r w:rsidR="00000000" w:rsidRPr="00000000" w:rsidDel="00000000">
              <w:rPr>
                <w:vertAlign w:val="superscript"/>
                <w:rtl w:val="0"/>
              </w:rPr>
              <w:t xml:space="preserve">20</w:t>
            </w:r>
            <w:r w:rsidR="00000000" w:rsidRPr="00000000" w:rsidDel="00000000">
              <w:rPr>
                <w:rtl w:val="0"/>
              </w:rPr>
              <w:t xml:space="preserve">). Tāpat grozījumu projekta 61.punkts, kas paredz izteikt 30.</w:t>
            </w:r>
            <w:r w:rsidR="00000000" w:rsidRPr="00000000" w:rsidDel="00000000">
              <w:rPr>
                <w:vertAlign w:val="superscript"/>
                <w:rtl w:val="0"/>
              </w:rPr>
              <w:t xml:space="preserve">16</w:t>
            </w:r>
            <w:r w:rsidR="00000000" w:rsidRPr="00000000" w:rsidDel="00000000">
              <w:rPr>
                <w:rtl w:val="0"/>
              </w:rPr>
              <w:t xml:space="preserve"> punktu jaunajā redakcijā, ir pavisam jauns punkts, nevis esošais.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39</w:t>
            </w:r>
            <w:r w:rsidR="00000000" w:rsidRPr="00000000" w:rsidDel="00000000">
              <w:rPr>
                <w:rtl w:val="0"/>
              </w:rPr>
              <w:t xml:space="preserve"> Atbalstu, atbilstoši Komisijas regulas Nr. 651/2014 38.a panta 7.daļai  var apvienot ar atbalstu vienam vai visiem šādiem pasākumiem, ja attiecīgās izmaksas nepieciešamas augstāka vides aizsardzības līmeņa sasniegšanai: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un precizēt atsauci uz Komisijas regulu Nr.651/2014, jo atbalstu apvienošana ir noteikta Komisijas regulas Nr.651/2014 38.a panta 7.punktā.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23-TA-1000</w:t>
    </w:r>
    <w:r>
      <w:br/>
    </w:r>
    <w:r w:rsidR="00000000" w:rsidRPr="00000000" w:rsidDel="00000000">
      <w:rPr>
        <w:rtl w:val="0"/>
      </w:rPr>
      <w:t xml:space="preserve">Izdrukāts 23.10.2023. 13.06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23-TA-1000</w:t>
    </w:r>
    <w:r>
      <w:br/>
    </w:r>
    <w:r w:rsidR="00000000" w:rsidRPr="00000000" w:rsidDel="00000000">
      <w:rPr>
        <w:rtl w:val="0"/>
      </w:rPr>
      <w:t xml:space="preserve">Izdrukāts 23.10.2023. 13.06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Atzinumi_23-TA-1000.docx</dc:title>
</cp:coreProperties>
</file>

<file path=docProps/custom.xml><?xml version="1.0" encoding="utf-8"?>
<Properties xmlns="http://schemas.openxmlformats.org/officeDocument/2006/custom-properties" xmlns:vt="http://schemas.openxmlformats.org/officeDocument/2006/docPropsVTypes"/>
</file>