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sadaļā informāciju attiecībā uz Baltpool biržu un Lietuvas normatīvajiem aktiem, kas jau ir stājušies spēkā 2023.gada 1.janvārī, nevis tikai stāsies spēkā minētajā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paredz pienākumu Būvniecības valsts kontroles birojam veikt izmaiņas Energoresursu informācijas sistēmā līdz 2023.gada 31.decembrim, vienlaikus anotācijas 7.3.sadaļā ir sniegta informācija par izmaksām 188 760 euro apmērā minēto izmaiņu veikšanai. Attiecīgi, lūdzam aizpildīt anotācijas 3.sadaļu, sniedzot informāciju par projekta ietekmi uz valsts budžetu, norādot izmaksu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50.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papildināšanu ar 50., 51., 52., 53., 54. un 55.punktu apvienot un izteikt kā vienu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4.zemsvītras piezīmi šajā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02.02.2023.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02.02.2023.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