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“Garantijas saimnieciskās darbības veicējiem konkurētspējas uzlabošanai” rādītāju novērtējums (ERAF 2021.-2027.gada finansējums))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mazās un vidējās kapitalizācijas  sabiedrības, kas atbilst Eiropas Parlamenta un Padomes 2015.gada 25.jūnija Regulas (ES) 2015/1017 par Eiropas Stratēģisko investīciju fondu, Eiropas Investīciju konsultāciju centru un Eiropas Investīciju projektu portālu, ar ko groza Regulas (ES) Nr. 1291/2013 un (ES) Nr. 1316/2013 – Eiropas Stratēģisko investīciju fonds 2.pantam ir attiecināms tikai uz 1.2.2.2. un 1.2.3.4.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9.punktā, un atkārtoti aicinām skaidrot anotācijā nepieciešamību noteikumu projektu papildināt ar 3.3.apakšpunktu, t.i., mazās un vidējās kapitalizācijas sabiedrības definīciju, ņemot vērā, ka noteikumu projekta ietvaros atbalsts tiek sniegts gan MVU, gan lielajiem uzņēmumiem un MVU un lielo uzņēmumu definīcijas ir attiecīgi jau iekļautas noteikumu projekta 3.1. un 3.2.apakšpunktos.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Ekonomikas ministrija plāno noteikumu projekta ietvaros sniegt atbalstu gan “mazas vidējas kapitalizācijas sabiedrībām”, gan “vidējas kapitalizācijas sabiedrībām”, vēršam uzmanību, ka “mazas vidējas kapitalizācijas sabiedrības” un “vidējas kapitalizācijas sabiedrības” definīcijas ir noteiktas </w:t>
            </w:r>
            <w:r w:rsidR="00000000" w:rsidRPr="00000000" w:rsidDel="00000000">
              <w:rPr>
                <w:i w:val="1"/>
                <w:rtl w:val="0"/>
              </w:rPr>
              <w:t xml:space="preserve">Eiropas Parlamenta un Padomes 2015.gada 25.jūnija Regulas (ES) 2015/1017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 2.panta 6. un 7.punktā, savukārt tāda definīcija, kā "mazās un vidējās kapitalizācijas sabiedrības" noteikta nav. Lūdzam veikt attiecīgus precizējumus noteikumu projekta 3.3.apakšpunktā.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12.3. 7 000 000 </w:t>
            </w:r>
            <w:r w:rsidR="00000000" w:rsidRPr="00000000" w:rsidDel="00000000">
              <w:rPr>
                <w:i w:val="1"/>
                <w:rtl w:val="0"/>
              </w:rPr>
              <w:t xml:space="preserve">euro</w:t>
            </w:r>
            <w:r w:rsidR="00000000" w:rsidRPr="00000000" w:rsidDel="00000000">
              <w:rPr>
                <w:rtl w:val="0"/>
              </w:rPr>
              <w:t xml:space="preserve">, ja garantija tiek sniegta 1.2.2.2. pasākuma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11.punktā un atkārtoti aicinām to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izziņā sniegtajam skaidrojumam, vienmēr tiks piemērots vai 12.1. vai 12.2.apakšpunktā noteiktais subsīdijas ekvivalenta aprēķins. Ar to saprotam, ka vai nu maksimālais atbalsta apmērs būs MVU gadījumā 5 miljoni eiro, vai lielo uzņēmumu gadījumā - 1,5 miljoni eiro. Līdz ar to, 12.3.apakšpunkts, kurā norādīti 7 miljoni eiro kā vēl viens maksimālais atbalsta apmērs, nekad netiks piemērots, jo minētais apjoms nekad netiks sasniegts. Lūdzam dzēst 12.3.apakšpunktu, jo tas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ja tam ar tiesas spriedumu ir pasludināts maksātnespējas process, ir ierosināts vai tiek īstenots tiesiskās aizsardzības process vai ja saimnieciskās darbības veicējs atbilst normatīvajos aktos noteiktajiem kritērijiem, uz kuriem pamatojoties kreditors var pieprasīt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ietverts izziņas 12.punktā, un atkārtoti aicinām precizēt noteikumu projekta 18.1.apakšpunktu, paredzot atbalsta pretendentam pienākumu iesniegt apliecinājumu par to, vai uzņēmums neatbilst normatīvajos aktos noteiktajiem kritērijiem, lai tam pēc kreditoru pieprasījuma pieprasītu maksātnespējas procedūru. Nosacījums par apliecinājuma iesniegšanu ir nepieciešams, lai nodrošinātu korektu un visaptverošu Komisijas regulas Nr.651/2014 2.panta 18.punkta c) apakšpunktā ietvertā nosacījuma piemērošanu. Atkārtoti skaidrojam, ka par iepriekšminēto nosacījumu atbalsta sniedzējam nav iespējams pārliecināties publiski pieejamos resursos un nosacījums ir jāvērtē, pamatojoties uz uzņēmuma iesniegtu apliecinājumu. Aicinām arī iepazīties ar Finanšu ministrijas 06.04.2021 vēstuli Nr.7-4/18/1868 “Par Komisijas regulas Nr.651/2014 2.panta 18.punkta c) apakšpunkta piemērošanu”, kas adresēta arī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š.g. 29.jūnija e-pasta vēstulē Nr.5.1/25/21/36 sniegto argumentāciju, ņemot vērā, ka valsts budžeta līdzekļi ir ierobežoti, kā arī ES fondu līdzfinansējumu var nodrošināt nacionālā līmenī arī no privātā līdzfinansējuma, lūdzam precizēt anotācijā (arī anotācijas 3.sadaļā) sniegto informāciju, aizstājot valsts budžeta līdzfinansējumu ar privāto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skaidrojumu tikai par noteikuma projektā paredzētajām finansējuma izmaiņām (1.2.3.4. pasākumam un 1.2.2.2. pasākumam) nevis par kopējo programmai pieejamo finansējuma apmēru. Papildus lūdzam izmaiņas 5.1.punktā tāpat kā 5.punktā norādīt ar mīnus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15.punktu, lūdzam papildināt anotācijas 8.2. sadaļu par pasākuma ietekmi uz horizontālo principu "Vienlīdzība, iekļaušana, nediskriminācija un pamattiesību ievērošana", “Klimatdrošināšana” , “Energoefektivitāte pirmajā vietā”  un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sabiedrībai "Altum" nav saistošas ES Kapitāla prasību direktīvā Nr.2013/36/ES (CRD IV) un Kapitāla prasību regulā Nr.575/2013 (CRR 575/2013) noteiktās prasības, lūdzam programmas rādītāju novērtējuma projekta 3.2.1. punktā atsaukties uz šīm prasībām kā etalona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projektu un rast saisti 1. punktā norādītajam kopējam programmas finansējumam ar MK noteikumos Nr. 383 noteikto programmas finansējumu, lai nodrošinātu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projektu un rast saisti 2. punktā norādītajai programmas ietekmei ar 1. punktā norādīto kopējo programmas finansējumu, lai nodrošinātu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Savienības kohēzijas politikas programmas 2021.-2027.gadam 1.2.3. specifiskā atbalsta mērķa "Veicināt ilgtspējīgu izaugsmi, konkurētspēju un darba vietu radīšanu MVU, tostarp ar produktīvām investīcijām" 1.2.3.4. pasākumu “Garantijas, portfeļgarantijas pilna cikla uzņēmējdarbībai (turpmāk – 1.2.3.4. pasākums)” un 1.2.2. specifiskā atbalsta mērķa “Izmantot digitalizācijas priekšrocības uzņēmējdarbības attīstībai ” 1.2.2.2. Individuālās garantijas digitalizācijai un automatizācijai (turpmāk – 1.2.2.2. pasākums)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šo noteikumu ietvaros nav noteikta skaidra demarkācija starp 1.2.2.2.pasākumu "Individuālās garantijas digitalizācijai un automatizācijai" un 1.2.3.4.pasākumu “Garantijas, portfeļgarantijas pilna cikla uzņēmējdarbībai”. Lūdzam noteikt skaidrus nosacījumus, kurus jāizpilda, lai saņemtu atbalstu vienā vai otrā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Savienības kohēzijas politikas programmas 2021.-2027.gadam 1.2.3. specifiskā atbalsta mērķa "Veicināt ilgtspējīgu izaugsmi, konkurētspēju un darba vietu radīšanu MVU, tostarp ar produktīvām investīcijām" 1.2.3.4. pasākumu “Garantijas, portfeļgarantijas pilna cikla uzņēmējdarbībai (turpmāk – 1.2.3.4. pasākums)” un 1.2.2. specifiskā atbalsta mērķa “Izmantot digitalizācijas priekšrocības uzņēmējdarbības attīstībai ” 1.2.2.2. Individuālās garantijas digitalizācijai un automatizācijai (turpmāk – 1.2.2.2. pasākums)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1.2.apakšpunktu, to izsakot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Savienības kohēzijas politikas programmas 2021.-2027.gadam 1.2.2. specifiskā atbalsta mērķa “Izmantot digitalizācijas priekšrocības uzņēmējdarbības attīstībai” 1.2.2.2. pasākumu "Individuālās garantijas digitalizācijai un automatizācijai" (turpmāk – 1.2.2.2. pasākums) un 1.2.3. specifiskā atbalsta mērķa "Veicināt ilgtspējīgu izaugsmi, konkurētspēju un darba vietu radīšanu MVU, tostarp ar produktīvām investīcijām" 1.2.3.4. pasākumu “Garantijas, portfeļgarantijas pilna cikla uzņēmējdarbībai" (turpmāk – 1.2.3.4. pasākums) tiešo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Finansējums, kas noteikts šo noteikumu 7.5. punktā, pieejams 1.2.2.2. pasākumam un 1.2.3.4. pasākumam, lietošana tiek uzsākta tikai pēc 2023.gada 31.decembra vai brīdī, kad 3.1.1.1. un 13.1.1.1. pasākumam pieejamais finansējums pilnībā ir apgūts.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vārdam "apgūšana" ir arī negatīva nozīme, lūdzam vārdu "apgūts" aizstāt ar vārdu "ieguldīts".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23-TA-1073</w:t>
    </w:r>
    <w:r>
      <w:br/>
    </w:r>
    <w:r w:rsidR="00000000" w:rsidRPr="00000000" w:rsidDel="00000000">
      <w:rPr>
        <w:rtl w:val="0"/>
      </w:rPr>
      <w:t xml:space="preserve">Izdrukāts 12.07.2023.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23-TA-1073</w:t>
    </w:r>
    <w:r>
      <w:br/>
    </w:r>
    <w:r w:rsidR="00000000" w:rsidRPr="00000000" w:rsidDel="00000000">
      <w:rPr>
        <w:rtl w:val="0"/>
      </w:rPr>
      <w:t xml:space="preserve">Izdrukāts 12.07.2023.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Atzinumi_23-TA-1073.docx</dc:title>
</cp:coreProperties>
</file>

<file path=docProps/custom.xml><?xml version="1.0" encoding="utf-8"?>
<Properties xmlns="http://schemas.openxmlformats.org/officeDocument/2006/custom-properties" xmlns:vt="http://schemas.openxmlformats.org/officeDocument/2006/docPropsVTypes"/>
</file>