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Noteikt Kultūras ministriju par koordinējošo institūciju plāna īstenošanā, bet par līdzatbildīgajām institūcijām – Ārlietu ministriju, Ekonomikas ministriju, Iekšlietu ministriju, Izglītības un zinātnes ministriju, Labklājības ministriju, Tieslietu ministriju, Tiesībsarga biroju un Sabiedrības integrācijas fondu.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par Rīkojuma projekta 2.punktā Ekonomikas ministrijai (turpmāk - EM) noteikto līdzatbildību Plāna rasisma un antisemītisma mazināšanai 2023.gadam (turpmāk – Plāns) īstenošanā. Vēršam uzmanību, ka Plānā nav identificējamas EM noteiktās atbildības vai līdzatbildības, kas noteiktu par pienākumu EM uzņemties līdzatbildību Plānā noteikto pasākumu īstenošanā.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Mazure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24.01.2023.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24.01.2023.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