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Sodu izpildes kodeksā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pants. Starpinstitūciju sadarbības sanāksmes kriminālsodu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Kriminālsodu izpildes laikā kriminālsodu izpildes iestādes organizē starpinstitūciju sadarbības sanāksmes šajā kodeksā noteiktajos gadījumos un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pants. Starpinstitūciju sadarbības sanāksmju organizēšanā iesaistītās iestādes un to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Valsts probācijas dienests, Ieslodzījuma vietu pārvalde un Valsts policija attiecībā uz personām, kurām iestāde nodrošina kriminālsoda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vardarbīgu noziegumu;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šī panta pirmajā daļā neminētos gadījumos par nepilngadīgu notiesāto, notiesāto ar garīgās veselības traucējumiem vai notiesāto, kuram ir konstatēts ļoti augsts jauna noziedzīga nodarījuma izdarīšanas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sanāksmi var organizēt jebkurā kriminālsodu izpildes procesa brīdī. Starpinstitūciju sadarbības sanāksmi obligāti organizē pirms kriminālsoda izpildes beigām par šī panta pirmajā daļā minētajiem notiesātajiem. Starpinstitūciju sadarbības sanāksmes var organizēt arī atkārtoti par vienu un to pašu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sanāksmēs pēc Valsts probācijas dienesta, Ieslodzījuma vietu pārvaldes vai Valsts policijas uzaicinājuma piedalās Valsts drošības dienesta, pašvaldības sociālā dienesta, bāriņtiesas, pašvaldības policijas, Valsts bērnu tiesību aizsardzības inspekcijas pārstāvji, kā arī psihologs, ārstniecības persona, fiziska persona vai juridiskas personas pārstāvis, kas var sniegt nepieciešamo informāciju izskatāmajā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drošības dienesta pārstāvi, ja sanāksmi organizē par šī panta pirmās daļas  3.punktā minēto personu vai personu, kas notiesāta par ar terorismu saistīta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bērnu tiesību aizsardzības inspekcijas pārstāvi, ja sanāksmi 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notiesāto, kurš būdams nepilngadīgs, ir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notiesāto, kurš izcieš sodu par noziedzīgu nodarījumu pret nepilngadīgu personu un nesadarbojas ar kriminālsodu izpildes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starpinstitūciju sadarbības sanāksmes ietvaros tiek konstatēts nepilngadīgā labāko interešu aizskārums vai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inspekcijas dalība nepieciešama bāriņtiesu darba uzraudzības un metodiskās vadības ietvaros atbilstoši normatīvajiem aktiem, kas noteic bāriņtiesas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sasaukšanas, organizēšanas un norises kārtību, lēmumu pieņemšanas kārtību, protokola sagatavošanas kārtību un protokolu glabāšanas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personu ar radikalizācijas pazīmēm šā kodeksa izpratnē uzskata personu, kura, pamatojoties uz ideoloģiska, politiska, reliģiska, sociāla, ekonomiska un personīga rakstura iemesliem, pakāpeniski pieņem vardarbīgu ekstrēmismu.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3</w:t>
            </w:r>
            <w:r w:rsidR="00000000" w:rsidRPr="00000000" w:rsidDel="00000000">
              <w:rPr>
                <w:b w:val="1"/>
                <w:rtl w:val="0"/>
              </w:rPr>
              <w:t xml:space="preserve">pants. Personas datu apstrāde starpinstitūciju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laikā tās dalībnieki, lai sasniegtu šā kodeksa 12.</w:t>
            </w:r>
            <w:r w:rsidR="00000000" w:rsidRPr="00000000" w:rsidDel="00000000">
              <w:rPr>
                <w:vertAlign w:val="superscript"/>
                <w:rtl w:val="0"/>
              </w:rPr>
              <w:t xml:space="preserve">1</w:t>
            </w:r>
            <w:r w:rsidR="00000000" w:rsidRPr="00000000" w:rsidDel="00000000">
              <w:rPr>
                <w:rtl w:val="0"/>
              </w:rPr>
              <w:t xml:space="preserve">panta otrajā daļā paredzēto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protokolu nosūta tikai šā kodeksa 12.</w:t>
            </w:r>
            <w:r w:rsidR="00000000" w:rsidRPr="00000000" w:rsidDel="00000000">
              <w:rPr>
                <w:vertAlign w:val="superscript"/>
                <w:rtl w:val="0"/>
              </w:rPr>
              <w:t xml:space="preserve">2</w:t>
            </w:r>
            <w:r w:rsidR="00000000" w:rsidRPr="00000000" w:rsidDel="00000000">
              <w:rPr>
                <w:rtl w:val="0"/>
              </w:rPr>
              <w:t xml:space="preserve">panta pirmajā un ceturtajā daļā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Starpinstitūciju sadarbības sanāksmes organizēšanas un norises laikā sanāksmes dalībnieki apstrādā šī panta pirmajā daļā noteiktos notiesātā, cietušā, notiesātā ģimenes vai mājsaimniecības locekļu, iespējami apdraudēto personu, tajā skaitā – nepilngadīgo bērnu, personas datus, ar nolūku nodrošināt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apstrādātajai informācijai, kā arī protokolā iekļautajai informācijai ir ierobežotas pieejamības statuss. Katra institūcija apstrādā starpinstitūciju sadarbības sanāksmes laikā saņemtos personas datus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apstrādāto informāciju izsniedz tikai institūciju pārstāvjiem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atbilstoši likuma "Par fizisko personu datu apstrādi kriminālprocesā un administratīvā pārkāpuma procesā" (turpmāk - likums) 3. panta pirmajai daļai likumu piemēro personas datu apstrādei, ko veic kompetentā iestāde šā likuma 2. pantā minētajos nolūkos, ja apstrāde pilnībā vai daļēji veikta ar automatizētiem līdzekļiem vai apstrādājamie personas dati veido kartotēku vai paredzēti, lai veidotu daļu no kartotēkas. Ņemot vērā, ka starpinstitūciju sanāksmēs plānotā personas datu apstrāde netiek veikta ar automatizētiem līdzekļiem, kā arī apstrādātie personas dati neveido kartotēku, secināms, ka datu apstrāde neietilpst likuma tvērumā un uz to nav attiecināmas likumā noteiktās prasības datu apstrādei. Ievērojot minēto, Inspekcija nesniegs viedokli par plānotās datu apstrādes tiesiskumu.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03.02.2023.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03.02.2023.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Atzinumi_22-TA-3178.docx</dc:title>
</cp:coreProperties>
</file>

<file path=docProps/custom.xml><?xml version="1.0" encoding="utf-8"?>
<Properties xmlns="http://schemas.openxmlformats.org/officeDocument/2006/custom-properties" xmlns:vt="http://schemas.openxmlformats.org/officeDocument/2006/docPropsVTypes"/>
</file>