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25.1.2.1. individuāla mērķa grupas jaunieša profilēšana;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uztur iepriekš pausto iebildumu, proti, ka Noteikumu projekta punkts ir papildināms ar konkrētiem apstrādājamo datu veidiem, ņemot vērā, ka tiks veikta mērķa grupas jaunieša profilēšana. Turklāt no Noteikumu projekta anotācijas izriet, ka profilēšana ietver arī īpašo kategoriju personas datus, jo paredzēta datu apstrāde, kas atklāj faktu par mērķa grupas jaunieša invaliditāti. Ievērojot minēto, atkārtoti aicinām precizēt noteikumu projekta 25.1.2.1. punktu, nosakot konkrētus apstrādājamo datu veidus. Vienlaikus gadījumā, ja datu apstrāde izriet no Eiropas Savienības normatīvā akta, lūdzam uz to norādīt 25.1.2.1. punktā, ietverot atsauci uz šo normatīvo aktu un konkrētu pantu vai tā daļu, kas paredz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18.08.2023.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18.08.2023.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