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(Novērtējums par ietekmi uz datu aizsardzību)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Siltumapgādes komersanti no informācijas sistēmas saņem un apstrādā Latvijas Republikas adreses, kurās ir siltumapgādes pieslēgums ar identifikatoru adresēm, kurās ir identificētas šā likuma ​​​3. panta otrajā daļā norādītās mājsaimniecības, lai piešķirtu šā likuma 2.panta otrās daļas 2. punktā minēto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uzņēmumiem, par kuru pakalpojumiem samaksa tiek veikta netiešo norēķinu kārtībā, nav pieejama informācija par katra dzīvokļa siltumenerģijas patēriņu, jo tos aprēķina/ mēra daudzīvokļu dzīvojamās mājas pārvaldnieks, kas apsaimnieko daudzdzīvokļu ēku. Attiecīgi, CSA uzņēmumi nevar bez pārvaldnieka iesaistes izpildīt šī Likumprojekta 4.panta (3) punktā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Siltumapgādes komersanti no informācijas sistēmas saņem un apstrādā Latvijas Republikas adreses, kurās ir siltumapgādes pieslēgums ar identifikatoru adresēm, kurās ir identificētas šā likuma 3. panta otrajā daļā norādītās mājsaimniecības, lai informētu pārvaldnieku, kas apsaimnieko daudzdzīvokļu dzīvojamo māju, kurā ir mājsaimniecības, vai īpašuma īpašnieku, kurš īpašumu izīrē mājsaimniecībai un piešķirtu šā likuma 2.panta otrās daļas 2. punktā minēto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28.08.2023.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28.08.2023.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