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Ieguldītāju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8.pantā ietvertajā Ieguldītāju aizsardzības likuma 6.</w:t>
            </w:r>
            <w:r w:rsidR="00000000" w:rsidRPr="00000000" w:rsidDel="00000000">
              <w:rPr>
                <w:vertAlign w:val="superscript"/>
                <w:rtl w:val="0"/>
              </w:rPr>
              <w:t xml:space="preserve">1 </w:t>
            </w:r>
            <w:r w:rsidR="00000000" w:rsidRPr="00000000" w:rsidDel="00000000">
              <w:rPr>
                <w:rtl w:val="0"/>
              </w:rPr>
              <w:t xml:space="preserve">panta pirmās daļas 4.punktā norādīts, ka kompensācijas izmaksu vai daļēju tās izmaksu ieguldītājam var atlikt, ja pret personu ir sākts kriminālprocess par noziedzīgi iegūtu līdzekļu legalizāciju, terorisma vai proliferācijas finansēšanu un nav stājies spēkā notiesājošs tiesas spriedums. Savukārt projekta sākotnējās ietekmes (ex-ante) novērtējuma ziņojuma (anotācijas) 1.3.sadaļā ir norādīts, ka viens no informācijas iegūšanas avotiem ir Iekšlietu ministrijas uzturētā valsts informācijas sistēma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Latvijas Banka pārbaudītu, vai ieguldītājs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Latvijas Bankai ziņas par ieguldītāju, precizēt projektu vai projekta sākotnējās ietekmes (ex-ante) novērtējuma ziņojumu (anotāciju), papildus norādot Krimināllikuma pantus (to daļas), par kuros paredzētajiem noziedzīgajiem nodarījumiem pret ieguldītāju nedrīkst būt uzsākts kriminālprocess.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27.07.2023.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27.07.2023.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Atzinumi_22-TA-1524.docx</dc:title>
</cp:coreProperties>
</file>

<file path=docProps/custom.xml><?xml version="1.0" encoding="utf-8"?>
<Properties xmlns="http://schemas.openxmlformats.org/officeDocument/2006/custom-properties" xmlns:vt="http://schemas.openxmlformats.org/officeDocument/2006/docPropsVTypes"/>
</file>