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E4C63" w14:textId="58E17EF9" w:rsidR="00D35C95" w:rsidRPr="00E62092" w:rsidRDefault="00D35C95" w:rsidP="00D35C95">
      <w:bookmarkStart w:id="0" w:name="_GoBack"/>
      <w:bookmarkEnd w:id="0"/>
      <w:r w:rsidRPr="00E62092">
        <w:t xml:space="preserve">Uz </w:t>
      </w:r>
      <w:r w:rsidRPr="00E62092">
        <w:rPr>
          <w:szCs w:val="24"/>
        </w:rPr>
        <w:t xml:space="preserve">05.03.2021. </w:t>
      </w:r>
      <w:r w:rsidRPr="00E62092">
        <w:rPr>
          <w:szCs w:val="24"/>
        </w:rPr>
        <w:tab/>
        <w:t xml:space="preserve">VSS prot. Nr. 9 </w:t>
      </w:r>
      <w:r w:rsidR="008A31BC">
        <w:rPr>
          <w:szCs w:val="24"/>
        </w:rPr>
        <w:t>6</w:t>
      </w:r>
      <w:r w:rsidRPr="00E62092">
        <w:rPr>
          <w:szCs w:val="24"/>
        </w:rPr>
        <w:t>.§ (</w:t>
      </w:r>
      <w:r w:rsidR="004F100D" w:rsidRPr="004F100D">
        <w:rPr>
          <w:szCs w:val="24"/>
        </w:rPr>
        <w:t>VSS-15</w:t>
      </w:r>
      <w:r w:rsidR="008A31BC">
        <w:rPr>
          <w:szCs w:val="24"/>
        </w:rPr>
        <w:t>6</w:t>
      </w:r>
      <w:r w:rsidRPr="00E62092">
        <w:rPr>
          <w:szCs w:val="24"/>
        </w:rPr>
        <w:t>)</w:t>
      </w:r>
    </w:p>
    <w:p w14:paraId="5E7C1C27" w14:textId="165B3EDF" w:rsidR="002E1474" w:rsidRPr="00E62092" w:rsidRDefault="002E1474" w:rsidP="00726E06"/>
    <w:p w14:paraId="45879F78" w14:textId="7EFD89BE" w:rsidR="000D6929" w:rsidRPr="00E62092" w:rsidRDefault="000D6929" w:rsidP="00726E06"/>
    <w:p w14:paraId="63118BA0" w14:textId="2512C970" w:rsidR="00D35C95" w:rsidRPr="00E62092" w:rsidRDefault="00E62092" w:rsidP="00D35C95">
      <w:pPr>
        <w:jc w:val="right"/>
        <w:rPr>
          <w:b/>
          <w:bCs/>
        </w:rPr>
      </w:pPr>
      <w:r w:rsidRPr="00E62092">
        <w:rPr>
          <w:b/>
          <w:bCs/>
        </w:rPr>
        <w:t xml:space="preserve">Finanšu </w:t>
      </w:r>
      <w:r w:rsidR="00D35C95" w:rsidRPr="00E62092">
        <w:rPr>
          <w:b/>
          <w:bCs/>
        </w:rPr>
        <w:t>ministrijai</w:t>
      </w:r>
    </w:p>
    <w:p w14:paraId="33266E2A" w14:textId="25F76378" w:rsidR="00D35C95" w:rsidRDefault="00D35C95" w:rsidP="00D35C95">
      <w:pPr>
        <w:jc w:val="right"/>
      </w:pPr>
    </w:p>
    <w:p w14:paraId="1EAFC757" w14:textId="77777777" w:rsidR="00703DE5" w:rsidRPr="00E62092" w:rsidRDefault="00703DE5" w:rsidP="00D35C95">
      <w:pPr>
        <w:jc w:val="right"/>
      </w:pPr>
    </w:p>
    <w:p w14:paraId="4C1BC8D7" w14:textId="75BA93B1" w:rsidR="008A31BC" w:rsidRPr="008A31BC" w:rsidRDefault="00A26363" w:rsidP="008A31BC">
      <w:pPr>
        <w:pStyle w:val="Footer"/>
        <w:spacing w:after="120"/>
        <w:ind w:right="4832"/>
        <w:jc w:val="left"/>
        <w:rPr>
          <w:i/>
          <w:iCs/>
        </w:rPr>
      </w:pPr>
      <w:r w:rsidRPr="00E62092">
        <w:rPr>
          <w:i/>
          <w:iCs/>
        </w:rPr>
        <w:t xml:space="preserve">Atzinums par </w:t>
      </w:r>
      <w:r w:rsidR="008A31BC">
        <w:rPr>
          <w:i/>
          <w:iCs/>
        </w:rPr>
        <w:t>l</w:t>
      </w:r>
      <w:r w:rsidR="008A31BC" w:rsidRPr="008A31BC">
        <w:rPr>
          <w:i/>
          <w:iCs/>
        </w:rPr>
        <w:t>ikumprojekt</w:t>
      </w:r>
      <w:r w:rsidR="008A31BC">
        <w:rPr>
          <w:i/>
          <w:iCs/>
        </w:rPr>
        <w:t>u</w:t>
      </w:r>
      <w:r w:rsidR="008A31BC" w:rsidRPr="008A31BC">
        <w:rPr>
          <w:i/>
          <w:iCs/>
        </w:rPr>
        <w:t xml:space="preserve"> "Grozījumi Ieguldījumu pārvaldes sabiedrību likumā" </w:t>
      </w:r>
    </w:p>
    <w:p w14:paraId="44593B4E" w14:textId="794E8FAA" w:rsidR="003F10E7" w:rsidRDefault="00D35C95" w:rsidP="003F10E7">
      <w:pPr>
        <w:pStyle w:val="NormalWeb"/>
        <w:spacing w:before="0" w:after="0"/>
        <w:ind w:right="13" w:firstLine="720"/>
        <w:jc w:val="both"/>
      </w:pPr>
      <w:r w:rsidRPr="00EE4474">
        <w:t xml:space="preserve">Tieslietu ministrija ir </w:t>
      </w:r>
      <w:r w:rsidRPr="00E62092">
        <w:t xml:space="preserve">izskatījusi </w:t>
      </w:r>
      <w:r w:rsidR="00E62092" w:rsidRPr="00E62092">
        <w:t>Finanšu ministrijas</w:t>
      </w:r>
      <w:r w:rsidRPr="00E62092">
        <w:t xml:space="preserve"> sagatavoto </w:t>
      </w:r>
      <w:r w:rsidR="00E62092" w:rsidRPr="00E62092">
        <w:t>liku</w:t>
      </w:r>
      <w:r w:rsidR="00E62092">
        <w:t>m</w:t>
      </w:r>
      <w:r w:rsidR="00E62092" w:rsidRPr="00E62092">
        <w:t>projektu</w:t>
      </w:r>
      <w:r w:rsidR="00A26363" w:rsidRPr="00E62092">
        <w:t xml:space="preserve"> </w:t>
      </w:r>
      <w:r w:rsidR="004F100D" w:rsidRPr="004F100D">
        <w:t>"</w:t>
      </w:r>
      <w:r w:rsidR="008A31BC" w:rsidRPr="008A31BC">
        <w:t>Grozījumi Ieguldījumu pārvaldes sabiedrību likumā</w:t>
      </w:r>
      <w:r w:rsidR="004F100D" w:rsidRPr="004F100D">
        <w:t xml:space="preserve">" </w:t>
      </w:r>
      <w:r w:rsidRPr="004540E0">
        <w:t xml:space="preserve">(turpmāk – </w:t>
      </w:r>
      <w:r w:rsidR="00E62092" w:rsidRPr="004540E0">
        <w:t>Likumprojekts</w:t>
      </w:r>
      <w:r w:rsidRPr="004540E0">
        <w:t>) un</w:t>
      </w:r>
      <w:r w:rsidR="003F10E7" w:rsidRPr="004540E0">
        <w:t xml:space="preserve"> tam pievienoto </w:t>
      </w:r>
      <w:r w:rsidR="00703DE5">
        <w:t>Likum</w:t>
      </w:r>
      <w:r w:rsidR="003F10E7">
        <w:t>projekta sākotnējās ietekmes novērtējuma ziņojumu (turpmāk – Anotācija)</w:t>
      </w:r>
      <w:r w:rsidR="003F10E7" w:rsidRPr="004540E0">
        <w:t xml:space="preserve"> un atbalsta to tālāku virzību, vienlaikus izsakot šādu</w:t>
      </w:r>
      <w:r w:rsidR="003F10E7">
        <w:t>s</w:t>
      </w:r>
      <w:r w:rsidR="003F10E7" w:rsidRPr="004540E0">
        <w:t xml:space="preserve"> iebildumu</w:t>
      </w:r>
      <w:r w:rsidR="003F10E7">
        <w:t>s:</w:t>
      </w:r>
    </w:p>
    <w:p w14:paraId="41AE3651" w14:textId="611D2188" w:rsidR="00F835F4" w:rsidRDefault="00F835F4" w:rsidP="00F835F4">
      <w:pPr>
        <w:pStyle w:val="NoSpacing"/>
        <w:ind w:firstLine="709"/>
        <w:rPr>
          <w:szCs w:val="24"/>
        </w:rPr>
      </w:pPr>
      <w:r>
        <w:rPr>
          <w:szCs w:val="24"/>
        </w:rPr>
        <w:t xml:space="preserve">1. Likumprojekta 4. pantā paredzētajā </w:t>
      </w:r>
      <w:r w:rsidRPr="00573D38">
        <w:rPr>
          <w:szCs w:val="24"/>
        </w:rPr>
        <w:t>Ieguldījumu pārvaldes sabiedrību likum</w:t>
      </w:r>
      <w:r>
        <w:rPr>
          <w:szCs w:val="24"/>
        </w:rPr>
        <w:t>a</w:t>
      </w:r>
      <w:r w:rsidR="00703DE5">
        <w:rPr>
          <w:szCs w:val="24"/>
        </w:rPr>
        <w:br/>
      </w:r>
      <w:r>
        <w:rPr>
          <w:szCs w:val="24"/>
        </w:rPr>
        <w:t>(turpmāk – Likums) 12. panta otrajā daļā tiek noteikts, ka l</w:t>
      </w:r>
      <w:r w:rsidRPr="00BF3E58">
        <w:rPr>
          <w:szCs w:val="24"/>
        </w:rPr>
        <w:t xml:space="preserve">ēmumu par sabiedrības licencē norādīto pārvaldes pakalpojumu vai šā likuma 5.panta otrajā un trešajā daļā minēto pakalpojumu maiņu Komisija pieņem </w:t>
      </w:r>
      <w:r w:rsidRPr="0078282F">
        <w:rPr>
          <w:szCs w:val="24"/>
        </w:rPr>
        <w:t>30 darbdienu</w:t>
      </w:r>
      <w:r w:rsidRPr="00BF3E58">
        <w:rPr>
          <w:szCs w:val="24"/>
        </w:rPr>
        <w:t xml:space="preserve"> laikā pēc visu šajā pantā minēto atbilstoši normatīvajos aktos noteiktajām prasībām sagatavoto un noformēto dokumentu saņemšanas.</w:t>
      </w:r>
      <w:r>
        <w:rPr>
          <w:szCs w:val="24"/>
        </w:rPr>
        <w:t xml:space="preserve"> Šobrīd </w:t>
      </w:r>
      <w:r w:rsidR="00703DE5">
        <w:rPr>
          <w:szCs w:val="24"/>
        </w:rPr>
        <w:t>L</w:t>
      </w:r>
      <w:r>
        <w:rPr>
          <w:szCs w:val="24"/>
        </w:rPr>
        <w:t>ikuma 12. panta trešā daļa paredz, ka l</w:t>
      </w:r>
      <w:r w:rsidRPr="007A698E">
        <w:rPr>
          <w:szCs w:val="24"/>
        </w:rPr>
        <w:t xml:space="preserve">ēmumu par </w:t>
      </w:r>
      <w:r w:rsidRPr="00BF3E58">
        <w:rPr>
          <w:szCs w:val="24"/>
        </w:rPr>
        <w:t xml:space="preserve">sabiedrības licencē norādīto pārvaldes pakalpojumu maiņu Komisija pieņem </w:t>
      </w:r>
      <w:r w:rsidRPr="0078282F">
        <w:rPr>
          <w:szCs w:val="24"/>
        </w:rPr>
        <w:t>15 dienu</w:t>
      </w:r>
      <w:r w:rsidRPr="00BF3E58">
        <w:rPr>
          <w:szCs w:val="24"/>
        </w:rPr>
        <w:t xml:space="preserve"> laikā </w:t>
      </w:r>
      <w:r>
        <w:rPr>
          <w:szCs w:val="24"/>
        </w:rPr>
        <w:t>pēc visu l</w:t>
      </w:r>
      <w:r w:rsidRPr="007A698E">
        <w:rPr>
          <w:szCs w:val="24"/>
        </w:rPr>
        <w:t>ikumā minēto dokumentu saņemšanas.</w:t>
      </w:r>
      <w:r>
        <w:rPr>
          <w:szCs w:val="24"/>
        </w:rPr>
        <w:t xml:space="preserve"> Tādējādi projekta 5. pantā ietvertā </w:t>
      </w:r>
      <w:r w:rsidR="00703DE5">
        <w:rPr>
          <w:szCs w:val="24"/>
        </w:rPr>
        <w:t>L</w:t>
      </w:r>
      <w:r>
        <w:rPr>
          <w:szCs w:val="24"/>
        </w:rPr>
        <w:t xml:space="preserve">ikuma 12. panta otrā daļa paredz pagarināt lēmuma par licencē norādīto pakalpojumu maiņu pieņemšanas termiņu. Vienlaikus </w:t>
      </w:r>
      <w:r w:rsidR="00703DE5">
        <w:rPr>
          <w:szCs w:val="24"/>
        </w:rPr>
        <w:t>Anotācijā</w:t>
      </w:r>
      <w:r>
        <w:rPr>
          <w:szCs w:val="24"/>
        </w:rPr>
        <w:t xml:space="preserve"> nav skaidrota lēmuma pieņemšanas termiņa pagarināšanas nepieciešamība. Vēršam uzmanību, ka Administratīvā procesa likuma (turpmāk – APL)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No minētā izriet, ka likumā var tikt noteikts no APL 64. panta pirmajā daļā paredzētā viena mēneša termiņa atšķirīgs administratīvā akta izdošanas termiņš. Vienlaikus šāda atšķirīga un ievērojami lielāka termiņa noteikšanas nepieciešamība ir jāskaidro </w:t>
      </w:r>
      <w:r w:rsidR="00545ED3">
        <w:rPr>
          <w:szCs w:val="24"/>
        </w:rPr>
        <w:t>Likum</w:t>
      </w:r>
      <w:r>
        <w:rPr>
          <w:szCs w:val="24"/>
        </w:rPr>
        <w:t xml:space="preserve">projekta </w:t>
      </w:r>
      <w:r w:rsidR="00545ED3">
        <w:rPr>
          <w:szCs w:val="24"/>
        </w:rPr>
        <w:t>A</w:t>
      </w:r>
      <w:r>
        <w:rPr>
          <w:szCs w:val="24"/>
        </w:rPr>
        <w:t xml:space="preserve">notācijā. Papildus norādām, </w:t>
      </w:r>
      <w:r w:rsidRPr="000C1B84">
        <w:rPr>
          <w:szCs w:val="24"/>
        </w:rPr>
        <w:t>ka lēmuma pieņemšanas termiņa skaitīšana no brīža, kad persona iesniegusi visus dokumentus, var nesamērīgi pagarināt termiņu, kādā tiks pieņemts lēmums. Proti, formāl</w:t>
      </w:r>
      <w:r>
        <w:rPr>
          <w:szCs w:val="24"/>
        </w:rPr>
        <w:t>i lēmuma pieņemšanai noteikts 30</w:t>
      </w:r>
      <w:r w:rsidRPr="000C1B84">
        <w:rPr>
          <w:szCs w:val="24"/>
        </w:rPr>
        <w:t xml:space="preserve"> </w:t>
      </w:r>
      <w:r>
        <w:rPr>
          <w:szCs w:val="24"/>
        </w:rPr>
        <w:t>darb</w:t>
      </w:r>
      <w:r w:rsidRPr="000C1B84">
        <w:rPr>
          <w:szCs w:val="24"/>
        </w:rPr>
        <w:t>dienu termiņš, taču faktiski nav zināms, cik garš tas būs, ja persona, iesniedzot iesniegumu, nebūs iesniegusi visus lēmuma pieņemšanai nepieciešamos dokumentus.</w:t>
      </w:r>
      <w:r>
        <w:rPr>
          <w:szCs w:val="24"/>
        </w:rPr>
        <w:t xml:space="preserve"> Līdz ar to ir nepieciešams izvērtēt šāda regulējuma samērīgumu, kā arī izvērtēt iespēju noteikt iestādei noteiktu, uz sadarbību vērstu rīcību, piemēram, iesniedzējam izskaidrot visas iesniegto dokumentu</w:t>
      </w:r>
      <w:r w:rsidR="00703DE5">
        <w:rPr>
          <w:szCs w:val="24"/>
        </w:rPr>
        <w:t xml:space="preserve"> </w:t>
      </w:r>
      <w:r>
        <w:rPr>
          <w:szCs w:val="24"/>
        </w:rPr>
        <w:t xml:space="preserve">nepilnības. Ievērojot minēto, lūdzam precizēt </w:t>
      </w:r>
      <w:r w:rsidR="00703DE5">
        <w:rPr>
          <w:szCs w:val="24"/>
        </w:rPr>
        <w:t>Likum</w:t>
      </w:r>
      <w:r>
        <w:rPr>
          <w:szCs w:val="24"/>
        </w:rPr>
        <w:t xml:space="preserve">projekta 5. pantu un papildināt </w:t>
      </w:r>
      <w:r w:rsidR="00703DE5">
        <w:rPr>
          <w:szCs w:val="24"/>
        </w:rPr>
        <w:t>A</w:t>
      </w:r>
      <w:r>
        <w:rPr>
          <w:szCs w:val="24"/>
        </w:rPr>
        <w:t xml:space="preserve">notāciju ar attiecīgu skaidrojumu. </w:t>
      </w:r>
    </w:p>
    <w:p w14:paraId="6BDAEDFD" w14:textId="4785F621" w:rsidR="00703DE5" w:rsidRPr="00703DE5" w:rsidRDefault="00703DE5" w:rsidP="00703DE5">
      <w:r>
        <w:br/>
      </w:r>
    </w:p>
    <w:p w14:paraId="53669246" w14:textId="44E01F20" w:rsidR="00F835F4" w:rsidRDefault="00F835F4" w:rsidP="00F835F4">
      <w:pPr>
        <w:pStyle w:val="NoSpacing"/>
        <w:ind w:firstLine="709"/>
        <w:rPr>
          <w:szCs w:val="24"/>
        </w:rPr>
      </w:pPr>
      <w:r>
        <w:rPr>
          <w:szCs w:val="24"/>
        </w:rPr>
        <w:t xml:space="preserve">2. Anotācijas kopsavilkumā tiek norādīts, ka </w:t>
      </w:r>
      <w:r w:rsidR="00703DE5">
        <w:rPr>
          <w:szCs w:val="24"/>
        </w:rPr>
        <w:t>Likum</w:t>
      </w:r>
      <w:r w:rsidRPr="00613C66">
        <w:rPr>
          <w:szCs w:val="24"/>
        </w:rPr>
        <w:t>projekta mērķ</w:t>
      </w:r>
      <w:r>
        <w:rPr>
          <w:szCs w:val="24"/>
        </w:rPr>
        <w:t xml:space="preserve">is ir saskaņot </w:t>
      </w:r>
      <w:r w:rsidR="006D7FD9">
        <w:rPr>
          <w:szCs w:val="24"/>
        </w:rPr>
        <w:t>L</w:t>
      </w:r>
      <w:r>
        <w:rPr>
          <w:szCs w:val="24"/>
        </w:rPr>
        <w:t xml:space="preserve">ikuma </w:t>
      </w:r>
      <w:r>
        <w:rPr>
          <w:szCs w:val="24"/>
        </w:rPr>
        <w:lastRenderedPageBreak/>
        <w:t>normas ar likumprojekta “</w:t>
      </w:r>
      <w:r w:rsidRPr="00613C66">
        <w:rPr>
          <w:szCs w:val="24"/>
        </w:rPr>
        <w:t>Ieguld</w:t>
      </w:r>
      <w:r>
        <w:rPr>
          <w:szCs w:val="24"/>
        </w:rPr>
        <w:t>ījumu brokeru sabiedrību likums”</w:t>
      </w:r>
      <w:r w:rsidRPr="00613C66">
        <w:rPr>
          <w:szCs w:val="24"/>
        </w:rPr>
        <w:t xml:space="preserve"> normām, lai nodrošinātu tiesību sistēmas saskaņotību un pārņemtu Direktīvas 2019/2034 prasības</w:t>
      </w:r>
      <w:r>
        <w:rPr>
          <w:szCs w:val="24"/>
        </w:rPr>
        <w:t xml:space="preserve">. Vienlaikus </w:t>
      </w:r>
      <w:r w:rsidR="00703DE5">
        <w:rPr>
          <w:szCs w:val="24"/>
        </w:rPr>
        <w:t>Likum</w:t>
      </w:r>
      <w:r>
        <w:rPr>
          <w:szCs w:val="24"/>
        </w:rPr>
        <w:t xml:space="preserve">projektā nav noteikts, ka kādas no tā normām stājas spēkā vienlaikus ar likumprojektu “Ieguldījumu brokeru sabiedrību likums”. Anotācijas IV sadaļas 1. punktā norādīts, ka </w:t>
      </w:r>
      <w:r w:rsidR="00703DE5">
        <w:rPr>
          <w:szCs w:val="24"/>
        </w:rPr>
        <w:t>Likum</w:t>
      </w:r>
      <w:r>
        <w:rPr>
          <w:szCs w:val="24"/>
        </w:rPr>
        <w:t xml:space="preserve">projekts Ministru kabinetā un Saeimā izskatāms vienlaicīgi ar likumprojektu “Ieguldījumu brokeru sabiedrību likums” un citiem ar to saistītajiem likumprojektiem. Vēršam uzmanību uz to, ka vairāku saistītu likumprojektu izskatīšana vienlaicīgi nenodrošina, ka tie arī stāsies spēkā vienlaicīgi. Ievērojot minēto, nepieciešams izvērtēt likumprojektu paketi kopumā un papildināt </w:t>
      </w:r>
      <w:r w:rsidR="00703DE5">
        <w:rPr>
          <w:szCs w:val="24"/>
        </w:rPr>
        <w:t>Likum</w:t>
      </w:r>
      <w:r>
        <w:rPr>
          <w:szCs w:val="24"/>
        </w:rPr>
        <w:t xml:space="preserve">projektu, nosakot, kuras </w:t>
      </w:r>
      <w:r w:rsidR="00703DE5">
        <w:rPr>
          <w:szCs w:val="24"/>
        </w:rPr>
        <w:t>Likum</w:t>
      </w:r>
      <w:r>
        <w:rPr>
          <w:szCs w:val="24"/>
        </w:rPr>
        <w:t xml:space="preserve">projekta normas stāsies spēkā vienlaikus ar likumprojektu “Ieguldījumu brokeru sabiedrību likums”, proti, veidot jaunus likuma pārejas noteikumus, vai arī visiem likumprojektiem noteikt vienu spēkā stāšanās termiņu (datumu). </w:t>
      </w:r>
    </w:p>
    <w:p w14:paraId="0CC00663" w14:textId="77777777" w:rsidR="00F835F4" w:rsidRDefault="00F835F4" w:rsidP="00F835F4">
      <w:pPr>
        <w:pStyle w:val="NoSpacing"/>
        <w:rPr>
          <w:szCs w:val="24"/>
        </w:rPr>
      </w:pPr>
    </w:p>
    <w:p w14:paraId="48E2DB51" w14:textId="77777777" w:rsidR="00F835F4" w:rsidRDefault="00F835F4" w:rsidP="00F835F4"/>
    <w:p w14:paraId="4204940F" w14:textId="77777777" w:rsidR="00F835F4" w:rsidRDefault="00F835F4" w:rsidP="00F835F4">
      <w:pPr>
        <w:pStyle w:val="NormalWeb"/>
        <w:spacing w:before="0" w:after="0"/>
        <w:ind w:right="13"/>
        <w:jc w:val="both"/>
      </w:pPr>
      <w:r>
        <w:t>Valsts sekretāra vietniece</w:t>
      </w:r>
    </w:p>
    <w:p w14:paraId="44B0D0ED" w14:textId="77777777" w:rsidR="00F835F4" w:rsidRDefault="00F835F4" w:rsidP="00F835F4">
      <w:pPr>
        <w:pStyle w:val="NormalWeb"/>
        <w:spacing w:before="0" w:after="0"/>
        <w:ind w:right="13"/>
        <w:jc w:val="both"/>
      </w:pPr>
      <w:r>
        <w:t xml:space="preserve">tiesību politikas jautājumos </w:t>
      </w:r>
      <w:r>
        <w:tab/>
      </w:r>
      <w:r>
        <w:tab/>
      </w:r>
      <w:r>
        <w:tab/>
      </w:r>
      <w:r>
        <w:tab/>
      </w:r>
      <w:r>
        <w:tab/>
      </w:r>
      <w:r>
        <w:tab/>
      </w:r>
      <w:r>
        <w:tab/>
      </w:r>
      <w:r>
        <w:tab/>
      </w:r>
      <w:proofErr w:type="spellStart"/>
      <w:r>
        <w:t>L.Medina</w:t>
      </w:r>
      <w:proofErr w:type="spellEnd"/>
    </w:p>
    <w:p w14:paraId="49A8462F" w14:textId="4345FF64" w:rsidR="00F835F4" w:rsidRDefault="00F835F4" w:rsidP="00F835F4">
      <w:pPr>
        <w:pStyle w:val="NoSpacing"/>
        <w:rPr>
          <w:szCs w:val="24"/>
        </w:rPr>
      </w:pPr>
    </w:p>
    <w:p w14:paraId="6F6369E1" w14:textId="77777777" w:rsidR="00F835F4" w:rsidRPr="00F835F4" w:rsidRDefault="00F835F4" w:rsidP="00F835F4"/>
    <w:p w14:paraId="57995F5A" w14:textId="7F784041" w:rsidR="00F835F4" w:rsidRPr="00F835F4" w:rsidRDefault="00F835F4" w:rsidP="00F835F4">
      <w:pPr>
        <w:rPr>
          <w:i/>
          <w:iCs/>
          <w:color w:val="000000" w:themeColor="text1"/>
          <w:sz w:val="20"/>
          <w:szCs w:val="20"/>
        </w:rPr>
      </w:pPr>
      <w:r w:rsidRPr="00F835F4">
        <w:rPr>
          <w:i/>
          <w:iCs/>
          <w:color w:val="000000" w:themeColor="text1"/>
          <w:sz w:val="20"/>
          <w:szCs w:val="20"/>
        </w:rPr>
        <w:t>Gusārova 67031734</w:t>
      </w:r>
    </w:p>
    <w:p w14:paraId="474CABD4" w14:textId="5656EE3A" w:rsidR="00F835F4" w:rsidRPr="00F835F4" w:rsidRDefault="00F835F4" w:rsidP="00F835F4">
      <w:pPr>
        <w:pStyle w:val="NoSpacing"/>
        <w:rPr>
          <w:i/>
          <w:iCs/>
          <w:sz w:val="20"/>
          <w:szCs w:val="20"/>
        </w:rPr>
      </w:pPr>
      <w:proofErr w:type="spellStart"/>
      <w:r w:rsidRPr="00F835F4">
        <w:rPr>
          <w:i/>
          <w:iCs/>
          <w:sz w:val="20"/>
          <w:szCs w:val="20"/>
        </w:rPr>
        <w:t>Rudziks</w:t>
      </w:r>
      <w:proofErr w:type="spellEnd"/>
      <w:r w:rsidRPr="00F835F4">
        <w:rPr>
          <w:i/>
          <w:iCs/>
          <w:sz w:val="20"/>
          <w:szCs w:val="20"/>
        </w:rPr>
        <w:t xml:space="preserve"> 67036902</w:t>
      </w:r>
    </w:p>
    <w:p w14:paraId="6368CCFD" w14:textId="77777777" w:rsidR="00F835F4" w:rsidRDefault="00F835F4" w:rsidP="00F835F4">
      <w:pPr>
        <w:pStyle w:val="NoSpacing"/>
        <w:rPr>
          <w:szCs w:val="24"/>
        </w:rPr>
      </w:pPr>
    </w:p>
    <w:p w14:paraId="382D962A" w14:textId="47E6972F" w:rsidR="000D6929" w:rsidRDefault="000D6929" w:rsidP="00726E06"/>
    <w:p w14:paraId="5E7C1C29" w14:textId="77777777" w:rsidR="00830970" w:rsidRPr="0087450D" w:rsidRDefault="00830970" w:rsidP="007B3740"/>
    <w:sectPr w:rsidR="00830970" w:rsidRPr="0087450D" w:rsidSect="00A34ACB">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B8F87" w14:textId="77777777" w:rsidR="0073574F" w:rsidRDefault="0073574F">
      <w:r>
        <w:separator/>
      </w:r>
    </w:p>
  </w:endnote>
  <w:endnote w:type="continuationSeparator" w:id="0">
    <w:p w14:paraId="2FC78332" w14:textId="77777777" w:rsidR="0073574F" w:rsidRDefault="00735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F3C9F" w14:textId="27AF29DD" w:rsidR="00F835F4" w:rsidRPr="00F835F4" w:rsidRDefault="00F835F4">
    <w:pPr>
      <w:pStyle w:val="Footer"/>
      <w:rPr>
        <w:sz w:val="20"/>
        <w:szCs w:val="20"/>
      </w:rPr>
    </w:pPr>
    <w:r w:rsidRPr="00270540">
      <w:rPr>
        <w:sz w:val="20"/>
        <w:szCs w:val="20"/>
      </w:rPr>
      <w:t>TMAtz_</w:t>
    </w:r>
    <w:r>
      <w:rPr>
        <w:sz w:val="20"/>
        <w:szCs w:val="20"/>
      </w:rPr>
      <w:t>1503</w:t>
    </w:r>
    <w:r w:rsidRPr="00270540">
      <w:rPr>
        <w:sz w:val="20"/>
        <w:szCs w:val="20"/>
      </w:rPr>
      <w:t>2</w:t>
    </w:r>
    <w:r>
      <w:rPr>
        <w:sz w:val="20"/>
        <w:szCs w:val="20"/>
      </w:rPr>
      <w:t>1_IPSL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30DE" w14:textId="7E4B4E47" w:rsidR="00887350" w:rsidRPr="00D61480" w:rsidRDefault="00D61480">
    <w:pPr>
      <w:pStyle w:val="Footer"/>
      <w:rPr>
        <w:sz w:val="20"/>
        <w:szCs w:val="20"/>
      </w:rPr>
    </w:pPr>
    <w:r w:rsidRPr="00270540">
      <w:rPr>
        <w:sz w:val="20"/>
        <w:szCs w:val="20"/>
      </w:rPr>
      <w:t>TMAtz_</w:t>
    </w:r>
    <w:r>
      <w:rPr>
        <w:sz w:val="20"/>
        <w:szCs w:val="20"/>
      </w:rPr>
      <w:t>1</w:t>
    </w:r>
    <w:r w:rsidR="00F835F4">
      <w:rPr>
        <w:sz w:val="20"/>
        <w:szCs w:val="20"/>
      </w:rPr>
      <w:t>5</w:t>
    </w:r>
    <w:r>
      <w:rPr>
        <w:sz w:val="20"/>
        <w:szCs w:val="20"/>
      </w:rPr>
      <w:t>03</w:t>
    </w:r>
    <w:r w:rsidRPr="00270540">
      <w:rPr>
        <w:sz w:val="20"/>
        <w:szCs w:val="20"/>
      </w:rPr>
      <w:t>2</w:t>
    </w:r>
    <w:r>
      <w:rPr>
        <w:sz w:val="20"/>
        <w:szCs w:val="20"/>
      </w:rPr>
      <w:t>1</w:t>
    </w:r>
    <w:r w:rsidR="004540E0">
      <w:rPr>
        <w:sz w:val="20"/>
        <w:szCs w:val="20"/>
      </w:rPr>
      <w:t>_</w:t>
    </w:r>
    <w:r w:rsidR="00F835F4">
      <w:rPr>
        <w:sz w:val="20"/>
        <w:szCs w:val="20"/>
      </w:rPr>
      <w:t>IPSL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40CF4" w14:textId="77777777" w:rsidR="0073574F" w:rsidRDefault="0073574F">
      <w:r>
        <w:separator/>
      </w:r>
    </w:p>
  </w:footnote>
  <w:footnote w:type="continuationSeparator" w:id="0">
    <w:p w14:paraId="32C5DB6B" w14:textId="77777777" w:rsidR="0073574F" w:rsidRDefault="00735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5E7C1C2E" w14:textId="4DD7E126" w:rsidR="007B3740" w:rsidRDefault="007B3740">
        <w:pPr>
          <w:pStyle w:val="Header"/>
          <w:jc w:val="center"/>
        </w:pPr>
        <w:r>
          <w:fldChar w:fldCharType="begin"/>
        </w:r>
        <w:r>
          <w:instrText>PAGE   \* MERGEFORMAT</w:instrText>
        </w:r>
        <w:r>
          <w:fldChar w:fldCharType="separate"/>
        </w:r>
        <w:r w:rsidR="00A474B9">
          <w:rPr>
            <w:noProof/>
          </w:rPr>
          <w:t>2</w:t>
        </w:r>
        <w:r>
          <w:fldChar w:fldCharType="end"/>
        </w:r>
      </w:p>
    </w:sdtContent>
  </w:sdt>
  <w:p w14:paraId="5E7C1C2F"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C1C30" w14:textId="77777777" w:rsidR="00A34ACB" w:rsidRDefault="00A34ACB" w:rsidP="00A34ACB">
    <w:pPr>
      <w:pStyle w:val="Header"/>
    </w:pPr>
  </w:p>
  <w:p w14:paraId="5E7C1C31"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Header"/>
    </w:pPr>
  </w:p>
  <w:p w14:paraId="5E7C1C33" w14:textId="77777777" w:rsidR="00A34ACB" w:rsidRDefault="00A34ACB" w:rsidP="00A34ACB">
    <w:pPr>
      <w:pStyle w:val="Header"/>
    </w:pPr>
  </w:p>
  <w:p w14:paraId="5E7C1C34" w14:textId="77777777" w:rsidR="00A34ACB" w:rsidRDefault="00A34ACB" w:rsidP="00A34ACB">
    <w:pPr>
      <w:pStyle w:val="Header"/>
    </w:pPr>
  </w:p>
  <w:p w14:paraId="5E7C1C35" w14:textId="77777777" w:rsidR="00A34ACB" w:rsidRDefault="00A34ACB" w:rsidP="00A34ACB">
    <w:pPr>
      <w:pStyle w:val="Header"/>
    </w:pPr>
  </w:p>
  <w:p w14:paraId="5E7C1C36" w14:textId="77777777" w:rsidR="00A34ACB" w:rsidRDefault="00A34ACB" w:rsidP="00A34ACB">
    <w:pPr>
      <w:pStyle w:val="Header"/>
    </w:pPr>
  </w:p>
  <w:p w14:paraId="5E7C1C37" w14:textId="77777777" w:rsidR="00A34ACB" w:rsidRDefault="00A34ACB" w:rsidP="00A34ACB">
    <w:pPr>
      <w:pStyle w:val="Header"/>
    </w:pPr>
  </w:p>
  <w:p w14:paraId="5E7C1C38" w14:textId="77777777" w:rsidR="00A34ACB" w:rsidRDefault="00A34ACB" w:rsidP="00A34ACB">
    <w:pPr>
      <w:pStyle w:val="Header"/>
    </w:pPr>
  </w:p>
  <w:p w14:paraId="5E7C1C39" w14:textId="77777777" w:rsidR="00A34ACB" w:rsidRDefault="00A34ACB" w:rsidP="00A34ACB">
    <w:pPr>
      <w:pStyle w:val="Header"/>
    </w:pPr>
  </w:p>
  <w:p w14:paraId="5E7C1C3A"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1C44"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807DF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rPr>
        <w:szCs w:val="24"/>
      </w:rPr>
    </w:pPr>
    <w:r w:rsidRPr="00C836FF">
      <w:rPr>
        <w:szCs w:val="24"/>
      </w:rPr>
      <w:t>Rīgā</w:t>
    </w:r>
  </w:p>
  <w:p w14:paraId="5E7C1C3C"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41B37D0D" w:rsidR="00E11DA3" w:rsidRDefault="00887350" w:rsidP="00E11DA3">
          <w:pPr>
            <w:pStyle w:val="Header"/>
            <w:jc w:val="center"/>
            <w:rPr>
              <w:szCs w:val="24"/>
            </w:rPr>
          </w:pPr>
          <w:r>
            <w:t>22.03.2021</w:t>
          </w:r>
          <w:r>
            <w:rPr>
              <w:szCs w:val="24"/>
            </w:rPr>
            <w:t>.</w:t>
          </w:r>
        </w:p>
      </w:tc>
      <w:tc>
        <w:tcPr>
          <w:tcW w:w="420" w:type="dxa"/>
          <w:tcBorders>
            <w:bottom w:val="nil"/>
          </w:tcBorders>
        </w:tcPr>
        <w:p w14:paraId="5E7C1C3E" w14:textId="77777777" w:rsidR="00E11DA3" w:rsidRDefault="00E11DA3" w:rsidP="00E11DA3">
          <w:pPr>
            <w:pStyle w:val="Header"/>
            <w:rPr>
              <w:szCs w:val="24"/>
            </w:rPr>
          </w:pPr>
          <w:r>
            <w:rPr>
              <w:szCs w:val="24"/>
            </w:rPr>
            <w:t xml:space="preserve"> Nr.</w:t>
          </w:r>
        </w:p>
      </w:tc>
      <w:tc>
        <w:tcPr>
          <w:tcW w:w="1890" w:type="dxa"/>
        </w:tcPr>
        <w:p w14:paraId="5E7C1C3F" w14:textId="77777777" w:rsidR="00E11DA3" w:rsidRDefault="00E11DA3" w:rsidP="00E11DA3">
          <w:pPr>
            <w:pStyle w:val="Header"/>
            <w:jc w:val="center"/>
            <w:rPr>
              <w:szCs w:val="24"/>
            </w:rPr>
          </w:pPr>
          <w:r>
            <w:t>1-9.1/299</w:t>
          </w:r>
        </w:p>
      </w:tc>
    </w:tr>
  </w:tbl>
  <w:p w14:paraId="5E7C1C41" w14:textId="77777777" w:rsidR="00AB4E8A" w:rsidRPr="00887350" w:rsidRDefault="00AB4E8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30349"/>
    <w:rsid w:val="00091ABD"/>
    <w:rsid w:val="000D6929"/>
    <w:rsid w:val="000E7F03"/>
    <w:rsid w:val="00124173"/>
    <w:rsid w:val="001A421B"/>
    <w:rsid w:val="00231B7C"/>
    <w:rsid w:val="00275B9E"/>
    <w:rsid w:val="002B3077"/>
    <w:rsid w:val="002E1474"/>
    <w:rsid w:val="003022E4"/>
    <w:rsid w:val="00304BB2"/>
    <w:rsid w:val="003071E3"/>
    <w:rsid w:val="00335032"/>
    <w:rsid w:val="003450BC"/>
    <w:rsid w:val="003F10E7"/>
    <w:rsid w:val="0043122B"/>
    <w:rsid w:val="00441F52"/>
    <w:rsid w:val="004540E0"/>
    <w:rsid w:val="00493308"/>
    <w:rsid w:val="004D3177"/>
    <w:rsid w:val="004F100D"/>
    <w:rsid w:val="00535564"/>
    <w:rsid w:val="00545ED3"/>
    <w:rsid w:val="00587B8C"/>
    <w:rsid w:val="005E672B"/>
    <w:rsid w:val="00663C3A"/>
    <w:rsid w:val="006C1639"/>
    <w:rsid w:val="006C6018"/>
    <w:rsid w:val="006D7FD9"/>
    <w:rsid w:val="006E1A60"/>
    <w:rsid w:val="00703DE5"/>
    <w:rsid w:val="00724680"/>
    <w:rsid w:val="00726E06"/>
    <w:rsid w:val="0073574F"/>
    <w:rsid w:val="00747CCB"/>
    <w:rsid w:val="00753AB8"/>
    <w:rsid w:val="007704BD"/>
    <w:rsid w:val="007B3740"/>
    <w:rsid w:val="007B3BA5"/>
    <w:rsid w:val="007B48EC"/>
    <w:rsid w:val="007E0D0E"/>
    <w:rsid w:val="007E4D1F"/>
    <w:rsid w:val="00815277"/>
    <w:rsid w:val="00816499"/>
    <w:rsid w:val="00830970"/>
    <w:rsid w:val="0087450D"/>
    <w:rsid w:val="00876C21"/>
    <w:rsid w:val="00883533"/>
    <w:rsid w:val="00887350"/>
    <w:rsid w:val="008A31BC"/>
    <w:rsid w:val="008A679D"/>
    <w:rsid w:val="008E3CED"/>
    <w:rsid w:val="00930FFE"/>
    <w:rsid w:val="00954D5A"/>
    <w:rsid w:val="0096342D"/>
    <w:rsid w:val="009D6B6A"/>
    <w:rsid w:val="00A26363"/>
    <w:rsid w:val="00A34ACB"/>
    <w:rsid w:val="00A474B9"/>
    <w:rsid w:val="00A64883"/>
    <w:rsid w:val="00A811CF"/>
    <w:rsid w:val="00A84FC7"/>
    <w:rsid w:val="00AB4E8A"/>
    <w:rsid w:val="00AC270F"/>
    <w:rsid w:val="00AF10A5"/>
    <w:rsid w:val="00BB087F"/>
    <w:rsid w:val="00C006CF"/>
    <w:rsid w:val="00C04896"/>
    <w:rsid w:val="00C255D9"/>
    <w:rsid w:val="00C47F57"/>
    <w:rsid w:val="00C836FF"/>
    <w:rsid w:val="00CD0E2E"/>
    <w:rsid w:val="00CE1449"/>
    <w:rsid w:val="00CF0967"/>
    <w:rsid w:val="00D21FA6"/>
    <w:rsid w:val="00D35C95"/>
    <w:rsid w:val="00D451A6"/>
    <w:rsid w:val="00D457D7"/>
    <w:rsid w:val="00D55B4B"/>
    <w:rsid w:val="00D61480"/>
    <w:rsid w:val="00D90DAE"/>
    <w:rsid w:val="00E11DA3"/>
    <w:rsid w:val="00E365CE"/>
    <w:rsid w:val="00E40434"/>
    <w:rsid w:val="00E44743"/>
    <w:rsid w:val="00E62092"/>
    <w:rsid w:val="00EC3533"/>
    <w:rsid w:val="00EC37FD"/>
    <w:rsid w:val="00F60586"/>
    <w:rsid w:val="00F835F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nhideWhenUsed/>
    <w:rsid w:val="00815277"/>
    <w:pPr>
      <w:tabs>
        <w:tab w:val="center" w:pos="4320"/>
        <w:tab w:val="right" w:pos="8640"/>
      </w:tabs>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D35C95"/>
    <w:pPr>
      <w:widowControl/>
      <w:spacing w:before="75" w:after="75"/>
      <w:jc w:val="left"/>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752983">
      <w:bodyDiv w:val="1"/>
      <w:marLeft w:val="0"/>
      <w:marRight w:val="0"/>
      <w:marTop w:val="0"/>
      <w:marBottom w:val="0"/>
      <w:divBdr>
        <w:top w:val="none" w:sz="0" w:space="0" w:color="auto"/>
        <w:left w:val="none" w:sz="0" w:space="0" w:color="auto"/>
        <w:bottom w:val="none" w:sz="0" w:space="0" w:color="auto"/>
        <w:right w:val="none" w:sz="0" w:space="0" w:color="auto"/>
      </w:divBdr>
    </w:div>
    <w:div w:id="659119032">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600287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2468</Words>
  <Characters>1408</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Aivis Hammers</cp:lastModifiedBy>
  <cp:revision>2</cp:revision>
  <cp:lastPrinted>2015-01-09T08:13:00Z</cp:lastPrinted>
  <dcterms:created xsi:type="dcterms:W3CDTF">2021-03-25T13:46:00Z</dcterms:created>
  <dcterms:modified xsi:type="dcterms:W3CDTF">2021-03-25T13:46:00Z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