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Klimata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emisiju samazināšanas un oglekļa dioksīda piesaistes mērķu noteikšana sektoriem un to 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paredz samazināt siltumnīcefekta gāzu emisijas pirmajā daļā noradītajos sektoros, savukārt panta trešā daļa paredz, ka  minētajiem sektoriem mērķi 2030. gadam tiek izteikti procentos pret 2005. gada konkrētā sektora emisiju apjomu un kopā ar finanšu avotiem sektorālo mērķu sasniegšanai tiek noteikti Nacionālajā enerģētikas un klimata plānā (NEKP). Ņemot vērā, ka šobrīd tādi mērķi nav iestrādāti NEKP projektā un arī likumprojekts nav stājies spēkā, šādus nosacījumus būs iespējams iestrādāt vienīgi nākamajā NEKP versijā. Tāpēc lūdzam papildināt likumprojektu ar pārejas noteikumu, kas nosaka termiņus šādu sektorālo mērķu noteikšanai un ieviešanai, kas saskaņoti ar nākamās NEKP versijas pieņemšanu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Stelmaka-Leja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09.05.2024. 16.11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09.05.2024. 16.11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Atzinumi_21-TA-62.docx</dc:title>
</cp:coreProperties>
</file>

<file path=docProps/custom.xml><?xml version="1.0" encoding="utf-8"?>
<Properties xmlns="http://schemas.openxmlformats.org/officeDocument/2006/custom-properties" xmlns:vt="http://schemas.openxmlformats.org/officeDocument/2006/docPropsVTypes"/>
</file>