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 prioritārā virziena “Nodarbinātība un sociālā iekļaušana”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rosinām visām pašvaldībām noteikt vienotus atbalsta nosacījumus, izsakot Noteikumu projekta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Maksimāli pieejamais ERAF finansējums vienam projektam šo noteikumu 23.1. apakšpunktā minēto darbību īstenošanai katras pašvaldības teritorijā ir 700 000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w:t>
            </w:r>
            <w:r w:rsidR="00000000" w:rsidRPr="00000000" w:rsidDel="00000000">
              <w:rPr>
                <w:rtl w:val="0"/>
              </w:rPr>
              <w:t xml:space="preserve"> un 7 650 000 </w:t>
            </w:r>
            <w:r w:rsidR="00000000" w:rsidRPr="00000000" w:rsidDel="00000000">
              <w:rPr>
                <w:i w:val="1"/>
                <w:rtl w:val="0"/>
              </w:rPr>
              <w:t xml:space="preserve">euro</w:t>
            </w:r>
            <w:r w:rsidR="00000000" w:rsidRPr="00000000" w:rsidDel="00000000">
              <w:rPr>
                <w:rtl w:val="0"/>
              </w:rPr>
              <w:t xml:space="preserve"> Rīgas valstspilsētas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rosinām visām pašvaldībām noteikt vienotus atbalsta nosacījumus, izsakot Noteikumu projekta punktus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Maksimāli pieejamais ERAF finansējums vienam projektam šo noteikumu 23.2. apakšpunktā minēto darbību īstenošanai katras pašvaldības teritorijā ir 700 000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22.08.2023.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22.08.2023.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Atzinumi_22-TA-2962.docx</dc:title>
</cp:coreProperties>
</file>

<file path=docProps/custom.xml><?xml version="1.0" encoding="utf-8"?>
<Properties xmlns="http://schemas.openxmlformats.org/officeDocument/2006/custom-properties" xmlns:vt="http://schemas.openxmlformats.org/officeDocument/2006/docPropsVTypes"/>
</file>