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komercializācijas atbalsta pakalpojumu nodrošināšana sīkajiem (mikro), mazajiem, vidējiem un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par 35.punktu izteikto otro iebildumu, kā arī ņemot vērā to, ka atbilstoši 35.punkta nosacījumiem gan 21.8., gan 21.9.apakšpunktos paredzētajām darbībām tiek plānotas identiskas gala labuma guvēja atbalstāmās darbības, savukārt MKN 37.punkts nosaka, ka šo noteikumu 35.1., 35.2., 35.3., 35.4., 35.5., 35.6. un 35.8. apakšpunktā minēto darbību īstenošanai finansējuma saņēmējs komersantam izsniedz vaučeru. Lūdzam EM izvērtēt 21.8.punkta nepieciešamību. Vēršam uzmanību, ka no pašreizējās punktu redakcijas nav skaidrs, ar ko atšķiras 21.8.apakšpunktā plānotais komercializācijas atbalsts no 21.9.apakšpunktā plānotā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komercializācijas atbalsta pakalpojumu nodrošināšana sīkajiem (mikro), mazajiem, vidējiem un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jau iepriekš izteikto FM iebildumu un lūdzam EM skaidrot, kā lielais komersants īstenojot komercializācijas atbalsta darbības (uzskaitītas MKN projekta 35.7. un 35.9-35.12.apakšpunktos) darbības varēs izpildīt nosacījumu par sadarbību ar MVU P&amp;I darbībās. EM sniegtais skaidrojums izziņas 67.punktā nesniedz atbildi uz FM iebildumu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un </w:t>
            </w:r>
            <w:r w:rsidR="00000000" w:rsidRPr="00000000" w:rsidDel="00000000">
              <w:rPr>
                <w:rtl w:val="0"/>
              </w:rPr>
              <w:t xml:space="preserve">21.12.</w:t>
            </w:r>
            <w:r w:rsidR="00000000" w:rsidRPr="00000000" w:rsidDel="00000000">
              <w:rPr>
                <w:rtl w:val="0"/>
              </w:rPr>
              <w:t xml:space="preserve"> apakšpunktā minētās atbalstāmā darbības ietvaros ir atbalstāmas šādas gala labuma guvēja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EM izvērtēt nepieciešamību precizēt MKN 35.punkta ievadteikumu attiecībā uz atbalstu komercializācijai (MKN 21.8.apakšpunkta izpratnē), ņemot vērā MKN projekta 37.punkta nosacījumu, ka šo noteikumu 35.1., 35.2., 35.3., 35.4., 35.5., 35.6. un 35.8. apakšpunktā minēto darbību īstenošanai finansējuma saņēmējs komersantam izsniedz vaučeru. Šobrīd 35.punkta ievadteikums sniedz maldinošu informāciju par MKN 21.8.apakšpunkta ietvaros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kontekstā ar EM izziņas 123.punkta skaidrojumu ar atsauci uz 2014.-2020.gada plānošanas perioda tehnoloģiju pārneses programmas konceptu (MKN Nr. 692), vēršam EM uzmanību, ka 35.9.-35.12.apakšpunktos uzskaitītās darbības 2014-2020 perioda TP koncepta ietvaros bija vērstas uz pētniecības organizāciju pētniecības rezultātu komercializācijas atbalstu, un atbalsts pētniecības organizāciju pētījumu rezultātu komercializācēšanai šobrīd un līdz grozījumu veikšanai Zinātniskās darbības likumā, MKN iekļauts netiek.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dalība starptautiskajās izstādēs, kontaktbiržās, konferencēs (semināros) ārvalstīs, individuālās vizītes (ja individuālo vizīti paredz komercializācijas stratēģija) izstrādāto tehnoloģiju un intelektuālā īpašuma komercializācijas nolūkos;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EM izziņas 123.punkta skaidrojumu, atsaucoties uz 2014-2020.gadu perioda tehnoloģiju pārneses programmas īstenošanas MKN Nr. 692 un to 35.1.punktu, vēršam uzmanību, ka MKN Nr. 692 35.1.punkts ir attiecināms uz MKN Nr 692 29. punktā minētajiem pretendentiem tehnoloģiju pārneses pieteikumu īstenošanai - pētniecības organizācijām. Skat.otro iebildumu arī pie MKN projekta 35.punkta.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Komersants var saņemt atbalstu šo noteikumu </w:t>
            </w:r>
            <w:r w:rsidR="00000000" w:rsidRPr="00000000" w:rsidDel="00000000">
              <w:rPr>
                <w:rtl w:val="0"/>
              </w:rPr>
              <w:t xml:space="preserve">35.3.</w:t>
            </w:r>
            <w:r w:rsidR="00000000" w:rsidRPr="00000000" w:rsidDel="00000000">
              <w:rPr>
                <w:rtl w:val="0"/>
              </w:rPr>
              <w:t xml:space="preserve"> un </w:t>
            </w:r>
            <w:r w:rsidR="00000000" w:rsidRPr="00000000" w:rsidDel="00000000">
              <w:rPr>
                <w:rtl w:val="0"/>
              </w:rPr>
              <w:t xml:space="preserve">35.6.</w:t>
            </w:r>
            <w:r w:rsidR="00000000" w:rsidRPr="00000000" w:rsidDel="00000000">
              <w:rPr>
                <w:rtl w:val="0"/>
              </w:rPr>
              <w:t xml:space="preserve"> apakšpunktos minēto darbību īstenošanai, ja tas ir noslēdzis līgumu ar pasūtītāju, kas atbilst Publisko iepirkumu likuma 1. panta 19. punktā noteiktajam, par iepirkuma līguma priekšmetu un par to ir publicēts paziņojums Iepirkumu uzraudzības biroja mājas lapā. Iepirkums, kurā piedalījies komersants, ticis organizēts kā inovāciju partnerības procedūra, atbilstoši Publisko iepirkumu likuma 8. panta pirmās daļas 5. punktā noteiktajam un ievērojot Ministru kabineta 2017. gada 28. februāra noteikumu Nr. 107 “Iepirkuma procedūru un metu konkursu norises kārtība” Nr. 107 2.5. apakšnodaļā “Inovācijas partnerības procedūra” noteiktajai kārtībai.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MKN projekta 37.punktam, t.sk. par 35.3.un 35.6.pakšpunktā minētajām atbalsta darbībām, komersantam tiek izsniegts inovāciju vaučers. Savukārt, MKN projekta 46.2.apakšpunkts nosaka, ka finansējuma apjoms vienam inovāciju vaučera projekta pieteikumam nepārsniedz 25 000 euro.  MKN 58.punktā noteikts, ka komersants var saņemt atbalstu 35.3, 35.6.apakšpunktā minēto darbību īstenošanai, ja ir noslēdzis iepirkuma līgumu. Savukārt, MKN 59.punkts paredz, ka komersanta iepirkuma līguma  priekšmeta līgumcenas apjoms nepārsniedz 50 000 euro apmēru. Lūdzam izvērtēt, vai 59.punktā un pārējos punktos noteiktās normas ir skaidri piemērojamas un MKN projektā neveidojas pretrunīgas normas starp punktiem, attiecīgi veicot atbilstošus precizējumus MKN.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Šajos noteikumos minētās izmaksas finansējuma saņēmējam ir attiecināmas no noteikumu spēkā stāšanās brīža. Šajos noteikumos minētās izmaksas gala labuma guvējiem ir attiecināmas no līguma starp finansējuma saņēmēju un gala labuma guvēju noslēgšanas šo noteikumu </w:t>
            </w:r>
            <w:r w:rsidR="00000000" w:rsidRPr="00000000" w:rsidDel="00000000">
              <w:rPr>
                <w:rtl w:val="0"/>
              </w:rPr>
              <w:t xml:space="preserve">35.1.</w:t>
            </w:r>
            <w:r w:rsidR="00000000" w:rsidRPr="00000000" w:rsidDel="00000000">
              <w:rPr>
                <w:rtl w:val="0"/>
              </w:rPr>
              <w:t xml:space="preserve"> - </w:t>
            </w:r>
            <w:r w:rsidR="00000000" w:rsidRPr="00000000" w:rsidDel="00000000">
              <w:rPr>
                <w:rtl w:val="0"/>
              </w:rPr>
              <w:t xml:space="preserve">35.6.</w:t>
            </w:r>
            <w:r w:rsidR="00000000" w:rsidRPr="00000000" w:rsidDel="00000000">
              <w:rPr>
                <w:rtl w:val="0"/>
              </w:rPr>
              <w:t xml:space="preserve">un </w:t>
            </w:r>
            <w:r w:rsidR="00000000" w:rsidRPr="00000000" w:rsidDel="00000000">
              <w:rPr>
                <w:rtl w:val="0"/>
              </w:rPr>
              <w:t xml:space="preserve">35.8.</w:t>
            </w:r>
            <w:r w:rsidR="00000000" w:rsidRPr="00000000" w:rsidDel="00000000">
              <w:rPr>
                <w:rtl w:val="0"/>
              </w:rPr>
              <w:t xml:space="preserve"> - </w:t>
            </w:r>
            <w:r w:rsidR="00000000" w:rsidRPr="00000000" w:rsidDel="00000000">
              <w:rPr>
                <w:rtl w:val="0"/>
              </w:rPr>
              <w:t xml:space="preserve">35.12.</w:t>
            </w:r>
            <w:r w:rsidR="00000000" w:rsidRPr="00000000" w:rsidDel="00000000">
              <w:rPr>
                <w:rtl w:val="0"/>
              </w:rPr>
              <w:t xml:space="preserve"> apakšpunktos minētajām gala labuma guvēja darbībām un no lēmuma par atbalsta piešķiršanu gala labuma guvējam šo noteikumu </w:t>
            </w:r>
            <w:r w:rsidR="00000000" w:rsidRPr="00000000" w:rsidDel="00000000">
              <w:rPr>
                <w:rtl w:val="0"/>
              </w:rPr>
              <w:t xml:space="preserve">35.7.</w:t>
            </w:r>
            <w:r w:rsidR="00000000" w:rsidRPr="00000000" w:rsidDel="00000000">
              <w:rPr>
                <w:rtl w:val="0"/>
              </w:rPr>
              <w:t xml:space="preserve"> apakšpunktā minētajām gala labuma guvēja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atbalstu aktivitātes ietvaros sniedz arī saskaņā ar Komisijas regulu Nr.651/2014, atbalsta saņēmējiem, kuri pretendē uz atbalstu saskaņā ar šo regulu, ir saistoša stimulējošās ietekmes nosacījuma ievērošana, kas ietverta šo MKN projekta 102.punktā. Vēršam uzmanību, ka šobrīd MKN projekta 63.punktā noteiktais, ka izmaksas gala labuma guvējiem varētu būt attiecināmas no līguma noslēgšanas brīža, nonāk pretrunā ar MKN projekta 102.punktā noteikto, ka šo noteikumu 35.1.,35.2.,35.3.,35.5. un 35.9.apakšpunktā minētās darbības var uzsākt no brīža, kad gala labuma guvējs ir iesniedzis finansējuma saņēmējam iesniegumu par projekta īstenošanu, ievērojot Komisijas regulas Nr.651/2014 6.panta 2.punktā minētos nosacījumus par stimulējošo ietekmi. Attiecīgi aicinām precizēt MKN projekta 63.punktu tā, lai tiktu novērsta pretruna ar MKN projekta 102.punktā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 juridiskās saistības būs uzņemtas pirms projekta iesniegšanas, viss projekts neizpilda stimulējošās ietekmes nosacījumus un ir neatbalstāms.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gala labuma guvējs - Latvijas Republikas Komercreģistrā reģistrēts komersants, kas atbilst sīkā (mikro), mazā un vidējā komersanta statusam saskaņā ar Regulas Nr. 651/2014 2. panta 2. punktu vai, kas atbilst vidējas kapitalizācijas, lielā komersanta statusam saskaņā ar Regulas Nr. 651/2014 2. panta 24. punktā noteikto definīciju ar nosacījumu, ja tās ietver sadarbību ar mazajiem/vidējiem komersantiem pētniecības un inovācijas aktivitātēs;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uz to, ka Kohēzijas poltikas programmas 2021-2027  (85) paragrāfs attiecībā uz 1.2.1. SAM "SAM “Pētniecības un inovāciju kapacitātes stiprināšana un progresīvu tehnoloģiju ieviešana uzņēmumiem” mērķa grupu cita starpā paredz atbalstu arī mazas vidējas kapitalizācijas sabiedrībām (</w:t>
            </w:r>
            <w:r w:rsidR="00000000" w:rsidRPr="00000000" w:rsidDel="00000000">
              <w:rPr>
                <w:i w:val="1"/>
                <w:rtl w:val="0"/>
              </w:rPr>
              <w:t xml:space="preserve">small mid caps</w:t>
            </w:r>
            <w:r w:rsidR="00000000" w:rsidRPr="00000000" w:rsidDel="00000000">
              <w:rPr>
                <w:rtl w:val="0"/>
              </w:rPr>
              <w:t xml:space="preserve"> ar darbinieku skaitu līdz 499) un attiecībā uz šo mērķa grupu nav attiecināms nosacījums par sadarbību ar MVU P&amp;I darbībās, tomēr mazas vidējas kapitalizācijas sabiedrības netiek iekļautas pasākuma mērķa grupā. Aicinām šo atkārtoti izvērtēt.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inovācijas partnerības procedūra – iepirkuma procedūra, kas atbilst Publisko iepirkumu likuma 1.panta 12.apakšpunktā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noteikumu projekta 2.19.apakšpunktā ietverto atsauci uz normatīvo aktu, precizējot to šādā redakcijā "Publisko iepirkumu likuma 1.panta 12.punktā".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 iestāde pēc Eiropas Komisijas lēmuma par vidusposma pārskatu var ierosināt palielināt pasākumam pieejamo kopējo attiecināmo finansējumu līdz šo noteikumu </w:t>
            </w:r>
            <w:r w:rsidR="00000000" w:rsidRPr="00000000" w:rsidDel="00000000">
              <w:rPr>
                <w:rtl w:val="0"/>
              </w:rPr>
              <w:t xml:space="preserve">7.</w:t>
            </w:r>
            <w:r w:rsidR="00000000" w:rsidRPr="00000000" w:rsidDel="00000000">
              <w:rPr>
                <w:rtl w:val="0"/>
              </w:rPr>
              <w:t xml:space="preserve"> punktā minētajam plānotajam kopējam attiecināmajam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11. punktu aiz vārdiem "var ierosināt" ar vārdiem un skaitļiem "no 2026.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Kohēzijas politikas fondu vadības informācijas sistēmā (turpmāk - KPVIS) tiek uzkrāti šādi RIS3 rādītāji katrā no RIS3 jomām sadalījumā pa gala labuma guvēju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savu priekšlikumu MKN punkta normas redakcijai attiecībā uz RIS3 datu uzkrāšanu pie Finansējuma saņēmēja kaskādes projektos nosūtīs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šo noteikumu </w:t>
            </w:r>
            <w:r w:rsidR="00000000" w:rsidRPr="00000000" w:rsidDel="00000000">
              <w:rPr>
                <w:rtl w:val="0"/>
              </w:rPr>
              <w:t xml:space="preserve">21.</w:t>
            </w:r>
            <w:r w:rsidR="00000000" w:rsidRPr="00000000" w:rsidDel="00000000">
              <w:rPr>
                <w:rtl w:val="0"/>
              </w:rPr>
              <w:t xml:space="preserve"> punktā minētās atbalstāmās darbības īsteno saskaņā ar projekta īstenošanas stratēģiju, kura satur detalizētu informāciju par projekta īstenošanas plānu, mērķiem, tehnoloģiju pārneses un komercializācijas vides problēmām Latvijā un to risinājumiem, finansējuma saņēmējam, tā darba uzdevumus un funkcijas, kā arī sasniedzamos rādītājus, lai nodrošinātu šo noteikumu </w:t>
            </w:r>
            <w:r w:rsidR="00000000" w:rsidRPr="00000000" w:rsidDel="00000000">
              <w:rPr>
                <w:rtl w:val="0"/>
              </w:rPr>
              <w:t xml:space="preserve">4.</w:t>
            </w:r>
            <w:r w:rsidR="00000000" w:rsidRPr="00000000" w:rsidDel="00000000">
              <w:rPr>
                <w:rtl w:val="0"/>
              </w:rPr>
              <w:t xml:space="preserve"> punktā minētā mērķa sasniegšanu, tāpat stratēģijā iekļauj gala labuma guvēju atlases procedūru. Projekta iesniedzējs minēto stratēģiju saskaņo ar Inovāciju un pētniecības pārvaldības padomi un, kad saņemts saskaņojums, pievieno stratēģiju projekta iesniegumam. Projekta īstenošanas laikā projekta īstenošanas stratēģijas grozījumus, skaņo ar Inovāciju un pētniecības pārvaldības padomi tikai gadījumos, ja tie ietekmē projekta īstenošanas mērķus.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skaidru interpretāciju, lūdzam pārskatīt un pēc nepieciešamības precizēt noteikumu projekta 17. punktā vārdu "finansējuma saņēmējam" vai teikuma interpunkcijas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šo noteikumu </w:t>
            </w:r>
            <w:r w:rsidR="00000000" w:rsidRPr="00000000" w:rsidDel="00000000">
              <w:rPr>
                <w:rtl w:val="0"/>
              </w:rPr>
              <w:t xml:space="preserve">34.</w:t>
            </w:r>
            <w:r w:rsidR="00000000" w:rsidRPr="00000000" w:rsidDel="00000000">
              <w:rPr>
                <w:rtl w:val="0"/>
              </w:rPr>
              <w:t xml:space="preserve"> punktā noteiktais komersants saņem atbalstu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ietvaros un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ietvaros, atbalstu darbībām šo noteikumu </w:t>
            </w:r>
            <w:r w:rsidR="00000000" w:rsidRPr="00000000" w:rsidDel="00000000">
              <w:rPr>
                <w:rtl w:val="0"/>
              </w:rPr>
              <w:t xml:space="preserve">35.9.</w:t>
            </w:r>
            <w:r w:rsidR="00000000" w:rsidRPr="00000000" w:rsidDel="00000000">
              <w:rPr>
                <w:rtl w:val="0"/>
              </w:rPr>
              <w:t xml:space="preserve">, </w:t>
            </w:r>
            <w:r w:rsidR="00000000" w:rsidRPr="00000000" w:rsidDel="00000000">
              <w:rPr>
                <w:rtl w:val="0"/>
              </w:rPr>
              <w:t xml:space="preserve">35.10.</w:t>
            </w:r>
            <w:r w:rsidR="00000000" w:rsidRPr="00000000" w:rsidDel="00000000">
              <w:rPr>
                <w:rtl w:val="0"/>
              </w:rPr>
              <w:t xml:space="preserve">, </w:t>
            </w:r>
            <w:r w:rsidR="00000000" w:rsidRPr="00000000" w:rsidDel="00000000">
              <w:rPr>
                <w:rtl w:val="0"/>
              </w:rPr>
              <w:t xml:space="preserve">35.11.</w:t>
            </w:r>
            <w:r w:rsidR="00000000" w:rsidRPr="00000000" w:rsidDel="00000000">
              <w:rPr>
                <w:rtl w:val="0"/>
              </w:rPr>
              <w:t xml:space="preserve"> un </w:t>
            </w:r>
            <w:r w:rsidR="00000000" w:rsidRPr="00000000" w:rsidDel="00000000">
              <w:rPr>
                <w:rtl w:val="0"/>
              </w:rPr>
              <w:t xml:space="preserve">35.12.</w:t>
            </w:r>
            <w:r w:rsidR="00000000" w:rsidRPr="00000000" w:rsidDel="00000000">
              <w:rPr>
                <w:rtl w:val="0"/>
              </w:rPr>
              <w:t xml:space="preserve"> apakšpunktos nevar saņemt šo noteikumu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izvērstu skaidrojumu par pasākuma demarkāciju ar citiem Eiropas Savienības kohēzijas politikas programmas 2021.–2027. gadam pasākumiem, Atveseļošanas fonda un Eiropas Savienības struktūrfondu un Kohēzijas fonda 2014.–2020. gada plānošanas perioda darbības programmu "Izaugsme un nodarbinātība", tai skaitā demarkāciju arī starp citiem publiskā finansējuma avotiem, ja tādi tiek identificēti. Tāpat lūdzam skaidrot, kā praktiski demarkācija tiks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Finansējuma saņēmējs pēc atbildīgās iestādes pieprasījuma 10 darbdienu laikā iesniedz atbildīgajai iestādei informāciju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savu priekšlikumu MKN punkta normas redakcijai attiecībā uz RIS3 datu uzkrāšanu pie Finansējuma saņēmēja kaskādes projektos nosūtīs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Finansējuma saņēmējs projekta īstenošanas laikā nodrošina interešu konflikta neesamību saskaņā ar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Regula Nr. 2018/1046) 61.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73.punktu, nosakot, ka finansējuma saņēmējs, īstenojot projektu, paraksta apliecinājumu par interešu konflikta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Gala labuma guvējs iesniedz apliecinājumu par to, ka tas neatbilst grūtībās nonākuša komersanta statusam saskaņā ar Regulas Nr. 651/2014 2.panta 18.punkta c)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MKN projekta 77.punktā ietverto nosacījumu, lūdzam papildināt anotāciju ar skaidrojumu, ka Komisijas regulas Nr.651/2014 2.panta 18.punkta c) apakšpunkta nosacījums tiks pārbaudīts, ņemot vērā atbalsta pretendenta iesniegto apliecinājumu, jo pārbaudi nav iespējams veikt, pamatojoties uz publiskajos reģistros pieejamo informāciju, bet paļaujoties tikai uz pretendenta iesniegtu apliecinājumu. Vienlaikus lūdzam paredzēt, ka šāda apliecinājuma iesniegšana ir paredzēta atbalsta sniedzēja projektu vērtēšanas kritēriju metodikā.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Ja tiek pārkāptas komercdarbības atbalsta kontroles normas, kas izriet no Komisijas regulas Nr.1407/2013, gala labuma guvējam ir pienākums atmaksāt atbalsta sniedzējam visu projekta ietvaros saņemto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MKN projekta 90.punktu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komercdarbības atbalsta kontroles normas, kas izriet no Komisijas regulas Nr.1407/2013, gala labuma guvējam ir pienākums atmaksāt atbalsta sniedzējam visu projekta ietvaros saņemto nelikumīgo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LIAA projekta izmaksas ir attiecināmas no šo noteikumu spēkā stāšanās dienas, atkārtoti lūdzam anotācijā sniegt pamatojumu un iekļaut MK sēdes protokollēmuma projektu,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punktā "Vienkāršoto izmaksu metodikas" ir norādītas neprecīzas atsauces uz Noteikumu projekta 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"attiecīgi 37.punktā norādītajām izmaksām" uz attiecīgi 39.punktā norādītajām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"MK noteikumu projekta 22. punkts" uz "MK noteikumu projekta 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"Ekonomikas ministrija MK noteikumu projekta izstrādes laikā ir informējusi LIAA par likmes piemērošanas nosacījumiem, kā arī likmes apmērs ir noteikts MK Noteikumu punktā Nr. 22." uz "Ekonomikas ministrija MK noteikumu projekta izstrādes laikā ir informējusi LIAA par likmes piemērošanas nosacījumiem, kā arī likmes apmērs ir noteikts MK Noteikumu punktā Nr.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"Darba braucienu un komandējumu izmaksas, atbilstoši MK noteikumu 57. punkta norādītajam" uz "Darba braucienu un komandējumu izmaksas, atbilstoši MK noteikumu 65. punkta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"Ārvalstu komandējuma izmaksas sedzamas projekta īstenošanas un vadības personālam un Finansējuma saņēmēja darbiniekiem, kas piedalās šo noteikumu 20.6., 20.11. un 20.12. apakšpunktā minētajos pasākumos vai atbalsta to organizēšanu." uz "Ārvalstu komandējuma izmaksas sedzamas projekta īstenošanas un vadības personālam un Finansējuma saņēmēja darbiniekiem, kas piedalās šo noteikumu 21.6., 21.11. un 21.12. apakšpunktā minētajos pasākumos vai atbalsta to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Zīlītis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"Ārējie eksperti, juridiskie pakalpojumi, konsultanti, konsultāciju pakalpojumi, darbinieki, ja tiek piesaistīti uz vairākām atbalsta programmām, tad attiecīgi izmaksas tiek proporcionāli nodalītas atbilstoši katra atbalsta programmas noslodzei kopumā nepārsniedzot 100%. Darbības izmaksu attiecināšanai klientam iesniedzamajos dokumentos būs jābūt norādītam īstenojamā projekta numuram, tādējādi nodrošinot, ka attiecināmo izmaksu pārklāšanos ar izmaksām citā programmā." redakcionāli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izmaksu attiecināšanai klientam iesniedzamajos dokumentos būs jābūt norādītam īstenojamā projekta numuram, tādējādi nodrošinot attiecināmo izmaksu nepārklāšanos ar izmaksām citā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anotācijas papildinājumu attiecībā uz projekta personāla izmaksu nošķiršanu no ārējiem ekspertiem, juridiskiem pakalpojumiem, konsultantiem, konsultāciju pakalpojumiem, norādām, ka joprojām trūkst skaidrojuma par funkciju nošķiršanu no projekta personāla, kam tiek piemērota vienotā likme. Līdz ar to uzturam priekšlikumu un lūdzam sniegt argumentētu skaidrojumu par funkciju nošķiršanu. Vēršam uzmanību, ka gadījumā, ja funkcijas pārklājas ar finansējuma saņēmēja personālam paredzēto, tās jāattiecina, piemērojot vienādu pieeju (šajā gadījumā nebūtu sedzamas papildus jau noteiktajai vienotai personāla likmei) un gadījumā, ja minētais netiktu ievērots, tas ir būtisks risks neatbilstoši veiktiem izdevumiem.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Izglītības un zinātnes ministriju, Tieslietu ministriju un Finanšu ministriju līdz 2023. gada 29. septembrim izstrādāt grozījumus Zinātniskās darbības likumā, iekļaujot nosacījumus publiskajām pētniecības organizācijām veikt to pētniecības rezultātu komercializāciju un deleģējumu pētniecības organizāciju pētniecības rezultātu komercializācijas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pārskatīt Zinātniskās darbības likuma grozījumu izstrādes termiņu, ņemot vērā, ka šī protokollēmuma izskatīšanas MK dienā šajā punktā norādītais termiņš jau būs pagājis. Vienlaikus, lai nodrošinātu skaidru protokollēmuma 3.punkta piemērošanu, aicinām izvērtēt un papildināt protokollēmuma 3.punktu, nosakot termiņu grozījumu Zinātniskās darbības likumā iesniegšanai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pēc grozījumu Zinātniskās darbības likumā apstiprināšanas, viena mēneša laikā iestrādāt apstiprinātajos Ministru kabineta noteikumos normas par atbalstu pētniecības organizāciju pētniecības rezultātu komercializācijai, šim mērķim novirzot 30% no pasākuma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jautājuma sarežģītību, kā nepieciešamību to saskaņot gan ar FM, gan TM un IZM kolēģiem, kas ietekmēs jautājuma saskaņošanas laiku, aicinām EM pārskatīt punktā noteikto termiņu grozījumu MKN veikšanai. Msuprāt, saprātīgs termiņš augstākminēto MKN izstrādei būtu līdz š.g.beigām.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26.09.2023.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26.09.2023.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Atzinumi_22-TA-2786.docx</dc:title>
</cp:coreProperties>
</file>

<file path=docProps/custom.xml><?xml version="1.0" encoding="utf-8"?>
<Properties xmlns="http://schemas.openxmlformats.org/officeDocument/2006/custom-properties" xmlns:vt="http://schemas.openxmlformats.org/officeDocument/2006/docPropsVTypes"/>
</file>