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nomas termiņa 30 gadi noteikšanu ar rekreāciju un tūrismu saistītām pirmās un otrās grupas inženierbūvēm piekrastes joslā (ieskaitot jūras ūdeņus) samērīgumu. Lūdzam skaidrot un pamatot, kāpēc ir nepieciešams salāgot jūras piekrastes joslas nomas līguma un atļaujas laukuma jūras piekrastes ūdeņos izmantošanas termiņus, kā arī pamatot nepieciešamību noteikt nomas termiņu līdz 30 gadiem, t.i. līdzvērtīgu termiņu kādu nosaka, piemēram, vēja parku vai akvakultūras attīstībai jūrā. Turklāt jāņem vērā, ka tieši jūras piekrastes ūdeņi ir visvairāk pakļauti antropogēnā piesārņojuma, tai skaitā, eitrofikācijas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minot piemērus, kas ir tūrisma un rekreācijas vajadzībām paredzētās pirmās un otrās grupas inženierbūves piekrastes joslā, t.sk. jūras piekrastes ūdeņos, uz kurām attiektos tiesību akta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Liepiņš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04.03.2025.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