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21-TA-1420: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Gaisa aizsardzības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par 16. panta aktuālo redakciju, aicinām anotācijā sniegt izvērstāku skaidrojumu par izņēmuma gadījumiem, kad pašvaldības var pieņemt lēmumu atkāpties no 16. panta trešajā daļā noteikto prasību ievērošanas - kā un kur pašvaldība sniedz šo pamatojumu, vai tas ir jāsniedz par katru konkrētajā teritorijā īstenoto projektu individuāli un vai pamatojums var būt, piemēram, tautsaimniecībai nozīmīga projekta vai reģiona attīstībai būtiska projekta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26.04.2024. 17.08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26.04.2024. 17.08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Atzinumi_21-TA-1420.docx</dc:title>
</cp:coreProperties>
</file>

<file path=docProps/custom.xml><?xml version="1.0" encoding="utf-8"?>
<Properties xmlns="http://schemas.openxmlformats.org/officeDocument/2006/custom-properties" xmlns:vt="http://schemas.openxmlformats.org/officeDocument/2006/docPropsVTypes"/>
</file>