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4936E" w14:textId="77777777" w:rsidR="00D34223" w:rsidRDefault="00D34223" w:rsidP="00D34223">
      <w:pPr>
        <w:rPr>
          <w:rFonts w:ascii="Roboto Light" w:hAnsi="Roboto Light"/>
        </w:rPr>
      </w:pPr>
      <w:r>
        <w:rPr>
          <w:rFonts w:ascii="Roboto Light" w:hAnsi="Roboto Light"/>
        </w:rPr>
        <w:t>Sveicināti!</w:t>
      </w:r>
      <w:r>
        <w:rPr>
          <w:rFonts w:ascii="Roboto Light" w:hAnsi="Roboto Light"/>
        </w:rPr>
        <w:br/>
      </w:r>
      <w:r>
        <w:rPr>
          <w:rFonts w:ascii="Roboto Light" w:hAnsi="Roboto Light"/>
        </w:rPr>
        <w:br/>
        <w:t>Latvijas Tirdzniecības un rūpniecības kamera (turpmāk – LTRK) ir izvērtējusi Finanšu ministrijas izstrādāto un precizēto likumprojektu ““Ilgtspējas informācijas atklāšanas likums” (23-TA-3235).</w:t>
      </w:r>
    </w:p>
    <w:p w14:paraId="2058BF0D" w14:textId="77777777" w:rsidR="00D34223" w:rsidRDefault="00D34223" w:rsidP="00D34223">
      <w:pPr>
        <w:rPr>
          <w:rFonts w:ascii="Roboto Light" w:hAnsi="Roboto Light"/>
        </w:rPr>
      </w:pPr>
      <w:r>
        <w:rPr>
          <w:rFonts w:ascii="Roboto Light" w:hAnsi="Roboto Light"/>
        </w:rPr>
        <w:t xml:space="preserve">LTRK atkārtoti aicina Finanšu ministriju izvērtēt iespēju precizēt gan likumprojektu, gan anotāciju, lai par lielu uzņēmumu/komercsabiedrību tiktu uzskatītas komercsabiedrības, kuras ir lielas sabiedrības un lielas koncerna mātes sabiedrības (liela sabiedrība - pārsniedz divus no trim kritērijiem, t.i., bilances kopsumma — 43 000 000 </w:t>
      </w:r>
      <w:proofErr w:type="spellStart"/>
      <w:r>
        <w:rPr>
          <w:rFonts w:ascii="Roboto Light" w:hAnsi="Roboto Light"/>
        </w:rPr>
        <w:t>euro</w:t>
      </w:r>
      <w:proofErr w:type="spellEnd"/>
      <w:r>
        <w:rPr>
          <w:rFonts w:ascii="Roboto Light" w:hAnsi="Roboto Light"/>
        </w:rPr>
        <w:t xml:space="preserve">, neto apgrozījums — 50 000 000 </w:t>
      </w:r>
      <w:proofErr w:type="spellStart"/>
      <w:r>
        <w:rPr>
          <w:rFonts w:ascii="Roboto Light" w:hAnsi="Roboto Light"/>
        </w:rPr>
        <w:t>euro</w:t>
      </w:r>
      <w:proofErr w:type="spellEnd"/>
      <w:r>
        <w:rPr>
          <w:rFonts w:ascii="Roboto Light" w:hAnsi="Roboto Light"/>
        </w:rPr>
        <w:t>, vidējais darbinieku skaits pārskata gadā — 250). Likumprojekta izziņā secināms, ka tikusi papildināta likumprojekta anotācija. Ministrija skaidro, ka Ilgtspējas Direktīva 2022/2464 groza Grāmatvedības direktīvu 2013/34, kurā ir norādītas sabiedrību lieluma kritēriju robežvērtības. Līdz ar to uz subjektiem, uz kuriem attiecas ilgtspējas ziņojuma sagatavošanas prasības, attiecas Grāmatvedības direktīvā 2013/34 noteiktās kritēriju robežvērtības. Latvijā šīs robežvērtības ir iestrādātas Gada pārskatu un konsolidēto gada pārskatu likumā.</w:t>
      </w:r>
    </w:p>
    <w:p w14:paraId="07A61245" w14:textId="77777777" w:rsidR="00D34223" w:rsidRDefault="00D34223" w:rsidP="00D34223">
      <w:pPr>
        <w:rPr>
          <w:rFonts w:ascii="Roboto Light" w:hAnsi="Roboto Light"/>
        </w:rPr>
      </w:pPr>
      <w:r>
        <w:rPr>
          <w:rFonts w:ascii="Roboto Light" w:hAnsi="Roboto Light"/>
        </w:rPr>
        <w:t>Iepazīstoties ar likumprojekta izziņu, LTRK aicina Finanšu ministriju izvērtēt iespēju palielināt lielas koncerna mātes sabiedrības kritērijus, kas tiek noteikti Gada pārskatu un konsolidēto gada pārskatu likumā, jo šobrīd lielas sabiedrības kritēriji ir tādi paši kā konsolidācijas koncerna mātes sabiedrības kritēriji. Minētais radīs pārlieku slogu sabiedrībām, kuras sastāv bieži no daudz mazām konsolidācijā iekļautām sabiedrībām un bieži mazākām sabiedrībām var nebūt pieejami resursi, lai veiktu visas ar ilgtspējas informācijas ieguvi saistītās darbības.</w:t>
      </w:r>
    </w:p>
    <w:p w14:paraId="09178B8E" w14:textId="77777777" w:rsidR="00D34223" w:rsidRDefault="00D34223" w:rsidP="00D34223">
      <w:pPr>
        <w:rPr>
          <w:rFonts w:ascii="Roboto Light" w:hAnsi="Roboto Light"/>
        </w:rPr>
      </w:pPr>
      <w:r>
        <w:rPr>
          <w:rFonts w:ascii="Roboto Light" w:hAnsi="Roboto Light"/>
        </w:rPr>
        <w:t>Vienlaikus LTRK lūdz ministriju skaidrot likumprojekta piemērošanu trešās valsts sabiedrību meitas sabiedrībām. Proti, likumprojekta tekstā precizēt, uz ko attiecināms likumprojektā minētais nosacījums “ja šo sabiedrību pārvedami vērtspapīri ir iekļauti regulētajā tirgū”. No likumprojekta redakcijas nav saprotams, vai subjekti ir meitas sabiedrības, kuru pašu (ne mātes sabiedrības) vērtspapīri ir iekļauti regulētajā tirgū, vai arī gadījumā, ja tikai mātes sabiedrības vērtspapīri ir iekļauti regulētajā tirgū. Nav saprotams, vai ir svarīgi, cik liela ir pati meitas sabiedrība. Tāpat nav saprotams,  vai meitas sabiedrība publisko ilgtspējas ziņojumu mātes sabiedrības grupas līmenī (attiecīgi, publisko šī ziņojuma tulkojumu latviešu valodā, bet atsevišķs ziņojums par Latviju nav jāsniedz).</w:t>
      </w:r>
    </w:p>
    <w:p w14:paraId="675179AF" w14:textId="77777777" w:rsidR="00D34223" w:rsidRDefault="00D34223" w:rsidP="00D34223">
      <w:pPr>
        <w:rPr>
          <w:rFonts w:ascii="Roboto Light" w:hAnsi="Roboto Light"/>
        </w:rPr>
      </w:pPr>
    </w:p>
    <w:p w14:paraId="3BB62A22" w14:textId="77777777" w:rsidR="00D34223" w:rsidRDefault="00D34223" w:rsidP="00D34223">
      <w:pPr>
        <w:rPr>
          <w:rFonts w:ascii="Roboto Light" w:hAnsi="Roboto Light"/>
        </w:rPr>
      </w:pPr>
      <w:r>
        <w:rPr>
          <w:rFonts w:ascii="Roboto Light" w:hAnsi="Roboto Light"/>
        </w:rPr>
        <w:t>Ar cieņu</w:t>
      </w:r>
    </w:p>
    <w:p w14:paraId="567B21FB" w14:textId="407D59AC" w:rsidR="00D34223" w:rsidRDefault="00D34223" w:rsidP="00D34223">
      <w:pPr>
        <w:rPr>
          <w:rFonts w:ascii="Roboto" w:hAnsi="Roboto"/>
          <w:color w:val="3D454D"/>
          <w:sz w:val="20"/>
          <w:szCs w:val="20"/>
          <w:lang w:eastAsia="lv-LV"/>
        </w:rPr>
      </w:pPr>
      <w:r>
        <w:rPr>
          <w:noProof/>
        </w:rPr>
        <w:drawing>
          <wp:anchor distT="0" distB="0" distL="114300" distR="114300" simplePos="0" relativeHeight="251659264" behindDoc="0" locked="0" layoutInCell="1" allowOverlap="1" wp14:anchorId="0DDB3B90" wp14:editId="4445AFFD">
            <wp:simplePos x="0" y="0"/>
            <wp:positionH relativeFrom="column">
              <wp:posOffset>-120650</wp:posOffset>
            </wp:positionH>
            <wp:positionV relativeFrom="paragraph">
              <wp:posOffset>1270</wp:posOffset>
            </wp:positionV>
            <wp:extent cx="1219200" cy="1219200"/>
            <wp:effectExtent l="0" t="0" r="0" b="0"/>
            <wp:wrapSquare wrapText="bothSides"/>
            <wp:docPr id="1730505584" name="Picture 2" descr="A white logo with a caduceus and a anch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505584" name="Picture 2" descr="A white logo with a caduceus and a anchor&#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pic:spPr>
                </pic:pic>
              </a:graphicData>
            </a:graphic>
            <wp14:sizeRelH relativeFrom="margin">
              <wp14:pctWidth>0</wp14:pctWidth>
            </wp14:sizeRelH>
            <wp14:sizeRelV relativeFrom="margin">
              <wp14:pctHeight>0</wp14:pctHeight>
            </wp14:sizeRelV>
          </wp:anchor>
        </w:drawing>
      </w:r>
      <w:r>
        <w:rPr>
          <w:rFonts w:ascii="Roboto" w:hAnsi="Roboto"/>
          <w:b/>
          <w:bCs/>
          <w:color w:val="3D454D"/>
          <w:sz w:val="20"/>
          <w:szCs w:val="20"/>
          <w:lang w:eastAsia="lv-LV"/>
        </w:rPr>
        <w:t>KRIŠS ZVIRBULIS</w:t>
      </w:r>
    </w:p>
    <w:p w14:paraId="4CD38CE6" w14:textId="77777777" w:rsidR="00D34223" w:rsidRDefault="00D34223" w:rsidP="00D34223">
      <w:pPr>
        <w:rPr>
          <w:rFonts w:ascii="Roboto" w:hAnsi="Roboto"/>
          <w:color w:val="3D454D"/>
          <w:sz w:val="20"/>
          <w:szCs w:val="20"/>
          <w:lang w:eastAsia="lv-LV"/>
        </w:rPr>
      </w:pPr>
      <w:r>
        <w:rPr>
          <w:rFonts w:ascii="Roboto" w:hAnsi="Roboto"/>
          <w:color w:val="3D454D"/>
          <w:sz w:val="20"/>
          <w:szCs w:val="20"/>
          <w:lang w:eastAsia="lv-LV"/>
        </w:rPr>
        <w:t>Politikas daļas direktora vietnieks</w:t>
      </w:r>
    </w:p>
    <w:p w14:paraId="6AD130EA" w14:textId="77777777" w:rsidR="00D34223" w:rsidRDefault="00D34223" w:rsidP="00D34223">
      <w:pPr>
        <w:ind w:left="33"/>
        <w:rPr>
          <w:rFonts w:ascii="Roboto" w:hAnsi="Roboto"/>
          <w:color w:val="3D454D"/>
          <w:sz w:val="18"/>
          <w:szCs w:val="18"/>
          <w:lang w:eastAsia="lv-LV"/>
        </w:rPr>
      </w:pPr>
      <w:r>
        <w:rPr>
          <w:rFonts w:ascii="Roboto" w:hAnsi="Roboto"/>
          <w:color w:val="3D454D"/>
          <w:sz w:val="18"/>
          <w:szCs w:val="18"/>
          <w:lang w:eastAsia="lv-LV"/>
        </w:rPr>
        <w:t>                </w:t>
      </w:r>
    </w:p>
    <w:p w14:paraId="764E6748" w14:textId="77777777" w:rsidR="00D34223" w:rsidRDefault="00D34223" w:rsidP="00D34223">
      <w:pPr>
        <w:rPr>
          <w:rFonts w:ascii="Roboto" w:hAnsi="Roboto"/>
          <w:color w:val="3D454D"/>
          <w:sz w:val="18"/>
          <w:szCs w:val="18"/>
          <w:lang w:eastAsia="lv-LV"/>
        </w:rPr>
      </w:pPr>
      <w:r>
        <w:rPr>
          <w:rFonts w:ascii="Roboto" w:hAnsi="Roboto"/>
          <w:b/>
          <w:bCs/>
          <w:color w:val="3D454D"/>
          <w:sz w:val="18"/>
          <w:szCs w:val="18"/>
          <w:lang w:eastAsia="lv-LV"/>
        </w:rPr>
        <w:t>Latvijas Tirdzniecības un rūpniecības kamera</w:t>
      </w:r>
    </w:p>
    <w:p w14:paraId="38DD331D" w14:textId="77777777" w:rsidR="00D34223" w:rsidRDefault="00D34223" w:rsidP="00D34223">
      <w:pPr>
        <w:rPr>
          <w:rFonts w:ascii="Roboto" w:hAnsi="Roboto"/>
          <w:color w:val="3D454D"/>
          <w:sz w:val="18"/>
          <w:szCs w:val="18"/>
          <w:lang w:eastAsia="lv-LV"/>
        </w:rPr>
      </w:pPr>
      <w:r>
        <w:rPr>
          <w:rFonts w:ascii="Roboto" w:hAnsi="Roboto"/>
          <w:color w:val="3D454D"/>
          <w:sz w:val="18"/>
          <w:szCs w:val="18"/>
          <w:lang w:eastAsia="lv-LV"/>
        </w:rPr>
        <w:t>K. Valdemāra iela 35, Rīga, LV-1010, Latvija</w:t>
      </w:r>
    </w:p>
    <w:p w14:paraId="18FEA00D" w14:textId="77777777" w:rsidR="00D34223" w:rsidRDefault="00D34223" w:rsidP="00D34223">
      <w:pPr>
        <w:ind w:left="33"/>
        <w:rPr>
          <w:rFonts w:ascii="Roboto" w:hAnsi="Roboto"/>
          <w:color w:val="3D454D"/>
          <w:sz w:val="18"/>
          <w:szCs w:val="18"/>
          <w:lang w:eastAsia="lv-LV"/>
        </w:rPr>
      </w:pPr>
      <w:r>
        <w:rPr>
          <w:rFonts w:ascii="Roboto" w:hAnsi="Roboto"/>
          <w:color w:val="3D454D"/>
          <w:sz w:val="18"/>
          <w:szCs w:val="18"/>
          <w:lang w:eastAsia="lv-LV"/>
        </w:rPr>
        <w:t xml:space="preserve">               </w:t>
      </w:r>
    </w:p>
    <w:p w14:paraId="7B4ED541" w14:textId="77777777" w:rsidR="00D34223" w:rsidRDefault="00D34223" w:rsidP="00D34223">
      <w:pPr>
        <w:rPr>
          <w:rFonts w:ascii="Roboto" w:hAnsi="Roboto"/>
          <w:color w:val="3D454D"/>
          <w:sz w:val="18"/>
          <w:szCs w:val="18"/>
          <w:lang w:eastAsia="lv-LV"/>
        </w:rPr>
      </w:pPr>
      <w:r>
        <w:rPr>
          <w:rFonts w:ascii="Roboto" w:hAnsi="Roboto"/>
          <w:sz w:val="18"/>
          <w:szCs w:val="18"/>
          <w:lang w:eastAsia="lv-LV"/>
        </w:rPr>
        <w:t>T:</w:t>
      </w:r>
      <w:r>
        <w:rPr>
          <w:rFonts w:ascii="Roboto" w:hAnsi="Roboto"/>
          <w:color w:val="C2C2AA"/>
          <w:sz w:val="18"/>
          <w:szCs w:val="18"/>
          <w:lang w:eastAsia="lv-LV"/>
        </w:rPr>
        <w:t xml:space="preserve">   </w:t>
      </w:r>
      <w:r>
        <w:rPr>
          <w:rFonts w:ascii="Roboto" w:hAnsi="Roboto"/>
          <w:color w:val="3D454D"/>
          <w:sz w:val="18"/>
          <w:szCs w:val="18"/>
          <w:lang w:eastAsia="lv-LV"/>
        </w:rPr>
        <w:t>+ 371 </w:t>
      </w:r>
      <w:r>
        <w:rPr>
          <w:rFonts w:ascii="Roboto" w:hAnsi="Roboto"/>
          <w:color w:val="3B3838"/>
          <w:sz w:val="20"/>
          <w:szCs w:val="20"/>
          <w:lang w:val="en-US" w:eastAsia="lv-LV"/>
        </w:rPr>
        <w:t>672 011 05</w:t>
      </w:r>
    </w:p>
    <w:p w14:paraId="1A582A35" w14:textId="77777777" w:rsidR="00D34223" w:rsidRDefault="00D34223" w:rsidP="00D34223">
      <w:pPr>
        <w:rPr>
          <w:rFonts w:ascii="Roboto" w:hAnsi="Roboto"/>
          <w:color w:val="3D454D"/>
          <w:sz w:val="18"/>
          <w:szCs w:val="18"/>
          <w:lang w:eastAsia="lv-LV"/>
        </w:rPr>
      </w:pPr>
      <w:r>
        <w:rPr>
          <w:rFonts w:ascii="Roboto" w:hAnsi="Roboto"/>
          <w:sz w:val="18"/>
          <w:szCs w:val="18"/>
          <w:lang w:eastAsia="lv-LV"/>
        </w:rPr>
        <w:t xml:space="preserve">M:  </w:t>
      </w:r>
      <w:r>
        <w:rPr>
          <w:rFonts w:ascii="Roboto" w:hAnsi="Roboto"/>
          <w:color w:val="3D454D"/>
          <w:sz w:val="18"/>
          <w:szCs w:val="18"/>
          <w:lang w:eastAsia="lv-LV"/>
        </w:rPr>
        <w:t>+ 371 260 863 16</w:t>
      </w:r>
    </w:p>
    <w:p w14:paraId="4357F604" w14:textId="77777777" w:rsidR="00D34223" w:rsidRDefault="00D34223" w:rsidP="00D34223">
      <w:pPr>
        <w:rPr>
          <w:rFonts w:ascii="Roboto" w:hAnsi="Roboto"/>
          <w:color w:val="44546A"/>
          <w:sz w:val="18"/>
          <w:szCs w:val="18"/>
          <w:lang w:eastAsia="lv-LV"/>
        </w:rPr>
      </w:pPr>
      <w:r>
        <w:rPr>
          <w:rFonts w:ascii="Roboto" w:hAnsi="Roboto"/>
          <w:sz w:val="18"/>
          <w:szCs w:val="18"/>
          <w:lang w:eastAsia="lv-LV"/>
        </w:rPr>
        <w:t xml:space="preserve">                                                  </w:t>
      </w:r>
      <w:hyperlink r:id="rId5" w:history="1">
        <w:r>
          <w:rPr>
            <w:rStyle w:val="Hyperlink"/>
            <w:rFonts w:ascii="Roboto" w:hAnsi="Roboto"/>
            <w:sz w:val="18"/>
            <w:szCs w:val="18"/>
            <w:lang w:eastAsia="lv-LV"/>
          </w:rPr>
          <w:t>www.ltrk.lv</w:t>
        </w:r>
      </w:hyperlink>
      <w:r>
        <w:rPr>
          <w:rFonts w:ascii="Roboto" w:hAnsi="Roboto"/>
          <w:color w:val="44546A"/>
          <w:sz w:val="18"/>
          <w:szCs w:val="18"/>
          <w:lang w:eastAsia="lv-LV"/>
        </w:rPr>
        <w:t xml:space="preserve"> </w:t>
      </w:r>
    </w:p>
    <w:p w14:paraId="2085CB3A" w14:textId="215D5BCD" w:rsidR="00D34223" w:rsidRDefault="00D34223" w:rsidP="00D34223">
      <w:pPr>
        <w:rPr>
          <w:rFonts w:ascii="Roboto" w:hAnsi="Roboto"/>
          <w:sz w:val="18"/>
          <w:szCs w:val="18"/>
          <w:lang w:eastAsia="lv-LV"/>
        </w:rPr>
      </w:pPr>
      <w:r>
        <w:rPr>
          <w:rFonts w:ascii="Roboto" w:hAnsi="Roboto"/>
          <w:noProof/>
          <w:sz w:val="18"/>
          <w:szCs w:val="18"/>
          <w:lang w:eastAsia="lv-LV"/>
        </w:rPr>
        <w:drawing>
          <wp:inline distT="0" distB="0" distL="0" distR="0" wp14:anchorId="2E88CA45" wp14:editId="2290A02B">
            <wp:extent cx="1816100" cy="400050"/>
            <wp:effectExtent l="0" t="0" r="12700" b="0"/>
            <wp:docPr id="1665045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816100" cy="400050"/>
                    </a:xfrm>
                    <a:prstGeom prst="rect">
                      <a:avLst/>
                    </a:prstGeom>
                    <a:noFill/>
                    <a:ln>
                      <a:noFill/>
                    </a:ln>
                  </pic:spPr>
                </pic:pic>
              </a:graphicData>
            </a:graphic>
          </wp:inline>
        </w:drawing>
      </w:r>
    </w:p>
    <w:p w14:paraId="47D22665" w14:textId="77777777" w:rsidR="00D34223" w:rsidRDefault="00D34223" w:rsidP="00D34223">
      <w:pPr>
        <w:rPr>
          <w:rFonts w:ascii="Roboto" w:hAnsi="Roboto"/>
          <w:sz w:val="18"/>
          <w:szCs w:val="18"/>
          <w:lang w:eastAsia="lv-LV"/>
        </w:rPr>
      </w:pPr>
    </w:p>
    <w:p w14:paraId="2F9A9A09" w14:textId="77777777" w:rsidR="0083371C" w:rsidRDefault="0083371C"/>
    <w:sectPr w:rsidR="0083371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Roboto Light">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223"/>
    <w:rsid w:val="0083371C"/>
    <w:rsid w:val="00A70FEB"/>
    <w:rsid w:val="00D342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1D3571"/>
  <w15:chartTrackingRefBased/>
  <w15:docId w15:val="{22265990-BB29-410F-A4EE-5BFB93F0B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223"/>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D3422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3422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3422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34223"/>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34223"/>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34223"/>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34223"/>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34223"/>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34223"/>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2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2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2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2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2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2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2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2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223"/>
    <w:rPr>
      <w:rFonts w:eastAsiaTheme="majorEastAsia" w:cstheme="majorBidi"/>
      <w:color w:val="272727" w:themeColor="text1" w:themeTint="D8"/>
    </w:rPr>
  </w:style>
  <w:style w:type="paragraph" w:styleId="Title">
    <w:name w:val="Title"/>
    <w:basedOn w:val="Normal"/>
    <w:next w:val="Normal"/>
    <w:link w:val="TitleChar"/>
    <w:uiPriority w:val="10"/>
    <w:qFormat/>
    <w:rsid w:val="00D3422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42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22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342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223"/>
    <w:pPr>
      <w:spacing w:before="160" w:after="160" w:line="259"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34223"/>
    <w:rPr>
      <w:i/>
      <w:iCs/>
      <w:color w:val="404040" w:themeColor="text1" w:themeTint="BF"/>
    </w:rPr>
  </w:style>
  <w:style w:type="paragraph" w:styleId="ListParagraph">
    <w:name w:val="List Paragraph"/>
    <w:basedOn w:val="Normal"/>
    <w:uiPriority w:val="34"/>
    <w:qFormat/>
    <w:rsid w:val="00D34223"/>
    <w:pPr>
      <w:spacing w:after="160" w:line="259"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D34223"/>
    <w:rPr>
      <w:i/>
      <w:iCs/>
      <w:color w:val="0F4761" w:themeColor="accent1" w:themeShade="BF"/>
    </w:rPr>
  </w:style>
  <w:style w:type="paragraph" w:styleId="IntenseQuote">
    <w:name w:val="Intense Quote"/>
    <w:basedOn w:val="Normal"/>
    <w:next w:val="Normal"/>
    <w:link w:val="IntenseQuoteChar"/>
    <w:uiPriority w:val="30"/>
    <w:qFormat/>
    <w:rsid w:val="00D3422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34223"/>
    <w:rPr>
      <w:i/>
      <w:iCs/>
      <w:color w:val="0F4761" w:themeColor="accent1" w:themeShade="BF"/>
    </w:rPr>
  </w:style>
  <w:style w:type="character" w:styleId="IntenseReference">
    <w:name w:val="Intense Reference"/>
    <w:basedOn w:val="DefaultParagraphFont"/>
    <w:uiPriority w:val="32"/>
    <w:qFormat/>
    <w:rsid w:val="00D34223"/>
    <w:rPr>
      <w:b/>
      <w:bCs/>
      <w:smallCaps/>
      <w:color w:val="0F4761" w:themeColor="accent1" w:themeShade="BF"/>
      <w:spacing w:val="5"/>
    </w:rPr>
  </w:style>
  <w:style w:type="character" w:styleId="Hyperlink">
    <w:name w:val="Hyperlink"/>
    <w:basedOn w:val="DefaultParagraphFont"/>
    <w:uiPriority w:val="99"/>
    <w:semiHidden/>
    <w:unhideWhenUsed/>
    <w:rsid w:val="00D3422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04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4.png@01DA8058.ECB2A9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www.ltrk.lv/"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1792</Words>
  <Characters>1022</Characters>
  <Application>Microsoft Office Word</Application>
  <DocSecurity>0</DocSecurity>
  <Lines>8</Lines>
  <Paragraphs>5</Paragraphs>
  <ScaleCrop>false</ScaleCrop>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Elksne</dc:creator>
  <cp:keywords/>
  <dc:description/>
  <cp:lastModifiedBy>Madara Elksne</cp:lastModifiedBy>
  <cp:revision>1</cp:revision>
  <dcterms:created xsi:type="dcterms:W3CDTF">2024-04-09T08:56:00Z</dcterms:created>
  <dcterms:modified xsi:type="dcterms:W3CDTF">2024-04-09T08:57:00Z</dcterms:modified>
</cp:coreProperties>
</file>