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kurš atbilst kādam no zemāk norādītajiem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15.punktu paredzēts precizēt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Nr.459) 53.4.apakšpunktu, paredzot, ka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nedrīkst būt sodīta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17.punktu paredzēts papildināt Noteikumus Nr.459 ar 53.</w:t>
            </w:r>
            <w:r w:rsidR="00000000" w:rsidRPr="00000000" w:rsidDel="00000000">
              <w:rPr>
                <w:vertAlign w:val="superscript"/>
                <w:rtl w:val="0"/>
              </w:rPr>
              <w:t xml:space="preserve">2</w:t>
            </w:r>
            <w:r w:rsidR="00000000" w:rsidRPr="00000000" w:rsidDel="00000000">
              <w:rPr>
                <w:rtl w:val="0"/>
              </w:rPr>
              <w:t xml:space="preserve"> punktu, paredzot, ka sabiedrība “Altum” par Noteikumu Nr.459 53.4.1., 53.4.2. un 53.4.3.apakšpunktā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ko būs jāsniedz (vai kuru jādara pieejamu), lai sabiedrība “Altum” pārbaudītu, vai nekustamā īpašuma attīstītājs vai persona, kura ir nekustamā īpašuma attīstītāja valdes vai padomes loceklis vai prokūrists, vai persona, kura ir pilnvarota pārstāvēt nekustamā īpašuma attīstītāju ar filiāli saistītās darbībās,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sabiedrībai “Altum” ziņas par administratīvajiem pārkāpumiem vai noziedzīgiem nodarījumiem,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papildus norādot attiecīgo nozari regulējošo likumu un Krimināllikuma pantus, par kuros paredzētajiem administratīvajiem pārkāpumiem un noziedzīgajiem nodarījumiem nekustamā īpašuma attīstītājs vai persona, kura ir nekustamā īpašuma attīstītāja valdes vai padomes loceklis vai prokūrists, vai persona, kura ir pilnvarota pārstāvēt nekustamā īpašuma attīstītāju ar filiāli saistītās darbībās, nedrīkst būt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53.4.5. 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15.punktu paredzēts precizēt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Nr.459) 53.4.apakšpunktu, paredzot, ka nekustamā īpašuma attīstītājs ar tādu attiecīgā jomā kompetentas institūcijas lēmumu par sodu vai tiesas spriedumu, kas stājies spēkā un kļuvis neapstrīdams un nepārsūdzams, nevar būt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sabiedrība “Altum” plāno saņemt attiecīgo informāciju par nekustamā īpašuma attīstītāja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sabiedrība “Altum” pārbaudītu, vai nekustamā īpašuma attīstītājs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15.punktā ietvertajā Noteikumu Nr.459 53.4.5.apakšpunktā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15.punktā ietvertajā Noteikumu Nr.459 53.4.5.apakšpunktā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nekustamā īpašuma attīstītājs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projekta 17.punktā ietverto Noteikumu Nr.459 53.</w:t>
            </w:r>
            <w:r w:rsidR="00000000" w:rsidRPr="00000000" w:rsidDel="00000000">
              <w:rPr>
                <w:vertAlign w:val="superscript"/>
                <w:rtl w:val="0"/>
              </w:rPr>
              <w:t xml:space="preserve">2 </w:t>
            </w:r>
            <w:r w:rsidR="00000000" w:rsidRPr="00000000" w:rsidDel="00000000">
              <w:rPr>
                <w:rtl w:val="0"/>
              </w:rPr>
              <w:t xml:space="preserve">punkta pirmo teikumu, papildinot to ar atsauci uz Noteikumu Nr.459 53.4.5.apakšpunktu.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53.4.1.2. kukuļņemšana, kukuļdošana, kukuļa piesavināšanās, starpniecība kukuļošanā, neatļauta labuma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15.punktā ietvertajā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53.4.1.2.apakšpunktā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tādu preču un vielu pārvietošana pāri Latvijas Republikas valsts robežai, kuru aprite ir aizliegta vai speciāli reglamentēta;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15.punktā ietvertajā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53.4.1.7.apakšpunktu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13.12.2023.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