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Vienotās digitālās vārtejas regulas prasību ieviešanu 2021.-2022.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Nozaru ministrijām sagatavot plānu Regulas 2018/1724 prasību īstenošanai, paredzot nepieciešamos tehniskos uzlabojumus, un informēt Vides aizsardzības un reģionālās attīstības ministriju līdz 2024. gada 1. februārim par plānoto iestādes rīcību Regulas prasību izpildei.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ministrija atkārtoti norāda, ka šobrīd tās rīcībā nav finanšu resursu Regulas prasību ieviešanai. Resursi regulas prasību ieviešanai attiecībā uz elektronisku uzņemšanu izglītības iestādēs plānoti no ERAF 2021.-2027. gada programmām, tādēļ regulas prasības būs iespējams īstenot pēc šī perioda līdzekļu pieejamības, šādu informāciju plānā paredzam norādīt. Lūgums šo izvērtēt un nepieciešamības gadījumā papildināt informatīvo ziņojumu.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Kaspars Veldre (IZM)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08.11.2023. 21.20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08.11.2023. 21.20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