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3.2.1. specifiskā atbalsta mērķa “Attīstīt noturīgu aizsardzības infrastruktūru, prioritāti atbalstot divējāda lietojuma infrastruktūru, kā arī uzlabot civilo sagatavotību” 3.2.1.1. pasākuma “Bezpilota lidaparātu uztveršanas, identifikācijas, izsekošanas un pretdarbības risinājuma ieviešana”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24.10.2025.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24.10.2025.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Atzinumi_25-TA-1859.docx</dc:title>
</cp:coreProperties>
</file>

<file path=docProps/custom.xml><?xml version="1.0" encoding="utf-8"?>
<Properties xmlns="http://schemas.openxmlformats.org/officeDocument/2006/custom-properties" xmlns:vt="http://schemas.openxmlformats.org/officeDocument/2006/docPropsVTypes"/>
</file>