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“Mielavi”, Brunavas pagastā, Bauskas novadā, daļas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Attiecībā uz ceļa servitūtu, kas zemesgrāmatā ierakstīts atzīmes veidā, ierosinām papildināt anotāciju ar skaidrojumu, ka atbilstoši tiesu praksei atzīmes veidā zemesgrāmatā izdarīts ieraksts neapliecina ceļa servitūta nodibināšanu (</w:t>
            </w:r>
            <w:r w:rsidR="00000000" w:rsidRPr="00000000" w:rsidDel="00000000">
              <w:rPr>
                <w:i w:val="1"/>
                <w:rtl w:val="0"/>
              </w:rPr>
              <w:t xml:space="preserve">sk. Senāta Civillietu departamenta 2013.gada 9.oktobra sprieduma lietā Nr.SKC-458/2013 (C12204010) 10.3.punktu</w:t>
            </w:r>
            <w:r w:rsidR="00000000" w:rsidRPr="00000000" w:rsidDel="00000000">
              <w:rPr>
                <w:rtl w:val="0"/>
              </w:rPr>
              <w:t xml:space="preserve">). Tādējādi zemesgrāmatā ierakstītajai atzīmei par ceļa servitūtu nav lietu tiesību nodibinoša spēka par labu noteiktām personām vai īpašumiem.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Māris Gerlovess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23-TA-2841</w:t>
    </w:r>
    <w:r>
      <w:br/>
    </w:r>
    <w:r w:rsidR="00000000" w:rsidRPr="00000000" w:rsidDel="00000000">
      <w:rPr>
        <w:rtl w:val="0"/>
      </w:rPr>
      <w:t xml:space="preserve">Izdrukāts 30.11.2023.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23-TA-2841</w:t>
    </w:r>
    <w:r>
      <w:br/>
    </w:r>
    <w:r w:rsidR="00000000" w:rsidRPr="00000000" w:rsidDel="00000000">
      <w:rPr>
        <w:rtl w:val="0"/>
      </w:rPr>
      <w:t xml:space="preserve">Izdrukāts 30.11.2023.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