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2. punktā minētās atļaujas izsniegšanu Latvijas Bankas padomes locekļiem lemj Latvijas Bankas prezidents, Valsts kontroles padomes locekļiem – Valsts kontrolieris, Centrālās vēlēšanu komisijas priekšsēdētāja vietniekam – Centrālās vēlēšanu komisijas priekšsēdētājs, Korupcijas novēršanas un apkarošanas biroja priekšniekam un Satversmes aizsardzības biroja direktoram – Ministru prezidents, Satversmes tiesas tiesnešiem (arī priekšsēdētājam un viņa vietniekam) – Satversmes tiesas rīcības sēde, citiem tiesnešiem – attiecīgās tiesas priekšsēdētājs, rajonu (pilsētu) un apgabaltiesu priekšsēdētājiem – tieslietu ministrs, ģenerālprokuroram – Augstākās tiesas priekšsēdētājs, Sabiedrisko pakalpojumu regulēšanas komisijas padomes, Nacionālās elektronisko plašsaziņas līdzekļu padomes, Sabiedrisko elektronisko plašsaziņas līdzekļu padomes locekļiem –  attiecīgās padomes priekšsēdētājs. Par attiecīgo atļauju izsniegšanu citām šā panta trešajā daļā minētajām amatpersonām, kuras amatā iecēlusi, ievēlējusi vai apstiprinājusi Saeima, lemj Saeimas Prezidijs.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panta otrās daļas 2. punktam Centrālās vēlēšanu komisijas (turpmāk - CVK) priekšsēdētājs, viņa vietnieks un CVK sekretārs var savienot amatu ar citu amatu, ja ir saņemta tās amatpersonas vai koleģiālās institūcijas rakstveida atļauja, kura attiecīgo personu ir iecēlusi, ievēlējusi vai apstiprinājusi amatā. CVK priekšsēdētāja vietnieku un CVK sekretāru no CVK komisijas locekļu vidus ievēlē CVK, kas ir koleģiāla institūcija (likuma "Par Centrālo vēlēšanu komisiju" 2.pants). Līdz ar to šobrīd likuma 13.panta otrā daļa ir pretrunā ar trešo daļu, kas nosaka, ka CVK priekšsēdētāja vietniekam atļauju izsniedz CVK priekšsēdētājs. Papildus nav saprotams, kādēļ atsevišķi izdalīts regulējums tieši par CVK priekšsēdētāja vietnieku un kas šādā gadījumā izdod atļauju CVK sekretāram.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likuma 13. panta trešo daļu vai papildināt anotāciju ar skaidrojumu, kā piemērojams šis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ir aprakstīts risinājums, kā samazināt administratīvo slogu ministrijās un pašvaldībās, dodot iespēju izveidot vienotu iekšējās kontroles sistēmu attiecīgās ministrijas padotības iestādēm vai pašvaldības iestādēm. Lūdzam papildināt anotācijas skaidrojumu ar risinājumu attiecībā uz patstāvīgajām iestādēm, īpaši ņemot vērā, ka lielākā daļa no tām ir mazas vai vidējas institūcijas, savukārt visaptverošas un efektīvas iekšējās kontroles sistēmas izveide un uzturēšana katrā iestādē atsevišķi ir resursu ietilpīgs pasākums, kam ir būtiska ietekme uz mazas iestādes budžetu un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saistīto tiesību aktu projektu sarakstu ar Ministru kabineta 2026. gada 10. marta noteikumiem Nr. 124 "Noteikumi par iestādēm, kurām ir pienākums sniegt datus Valsts digitālās attīstības aģentūrai tās pārziņā esošā tehnoloģiskā risinājuma darbības nodrošināšanai Saeimas vēlēšanu organizēšanā, kā arī datu sniegšanas kārtība un apjoms". Atbildīgā institūcija ir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retāk kā reizi trijos gados iekšējās kontroles sistēmas auditu, tai skaitā institūcijas līmeņa korupcijas un interešu risku novērtējuma atbilstību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šī pienākuma īstenošanas mehānismu iestādēs, kur līdz šim nav bijis ieviests iekšējā audita institūts.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29.05.2026. 10.30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29.05.2026. 10.30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