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šādiem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no sadarbības partneru loka ir izslēgtas privātās izglītības iestādes. Izsakām bažas, ka šāds regulējums pirmšķietami varētu būt diskriminējos attiecībā pret minētajām privātajām izglītības iestādēm. Vēršam uzmanību, ka saskaņā ar Latvijas Republikas Satversmes 91.  pantu visi cilvēki Latvijā ir vienlīdzīgi likuma un tiesas priekšā. Cilvēka tiesības tiek īstenotas bez jebkādas diskriminācijas. Kā atzinusi Satversmes tiesa (lietā Nr. 2003–04–02), ierobežojumiem ir jābūt ar leģitīmu mērķi un samērīgiem. Atšķirīga attieksme ir pieļaujama to pamatojot ar leģitīma mērķa sasniegšanu (lietā Nr.  2005-08-01). Attiecīgi lūdzam izvērtēt šāda regulējuma atbilstību tiesiskās vienlīdzības un diskriminācijas aizlieguma principa prasībām un veikt atbilstošus precizējumus noteikumu projektā vai tā anotācijā sniegt izvērstu pamatojumu, kāpēc noteikumu projektā kā iespējamie sadarbības partneri ir noteiktas tikai valsts un valsts augstskolu dibinātas profesionālās un vispārējās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nodrošina informācijas un publicitātes pasākumus saskaņā ar Regulas Nr.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33.1.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informācijas un publicitātes pasākumus saskaņā ar Regulas Nr. 2021/1060 47. un 50. pantu un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konkretizējot, kādas datu kategorijas tiks apstrādātas projekta ietvaros. Paskaidrojam, lai gan anotācijā tiek norādīts, ka projekta ietvaros tiks veikta datu apstrāde, kas atklāj faktu par mērķa grupas izglītojamo invaliditāti, no turpmākā anotācijas skaidrojuma saprotams, ka minētā informācija tiks apstrādāta ar mērķi, lai nodrošinātu atbalsta pakalpojumus specifiski izglītojamajam, no kā, savukārt saprotams, ka mērķa sasniegšanai tiek plānots apstrādāt informāciju ne tikai par invaliditātes faktu (ir vai nav invaliditāte). Ņemot vērā minētās neatbilstības anotācijā, nepieciešams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12.01.2024.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12.01.2024.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