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kanceleja sniegs cilvēkresursu pārvaldības pakalpojumus, kas ietvers arī atalgojuma pārvaldību, novērtēšanu. Lūdzam papildināt anotāciju, norādot, kā šie procesi integrēsies ar Valsts kases procesiem personāla lietvedības jomā (arī tiek apstrādāti dati par atalgojumu).Lūdzam papildināt anotāciju, kā tiks nodrošināts datu ievades vienreizes princips (kura sistēma būs Vienotajā pakalpojumu centrā, kurā vadīs datus), kā arī skaidrot, vai dati integrēsies arī tādām sistēmām, kā, piemēram, VID EDS. Saskaņā ar anotāciju kompetenču novērtēšana iekļaujas MAS un pie novētēšanas procesa Cilvēkresursu pārvaldībā. Vai šajā gadījumā neveidosies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precizēt Valsts kancelejas funkcijas, nosakot, ka valsts pārvaldes vienotā pakalpojumu centra ietvaros Valsts kanceleja sniedz cilvēkresursu pārvaldības pakalpojumus, bet Valsts administrācijas skola – mācību un attīstības pakalpojumus, lūdzam anotācijas 3. sadaļas tabulas 2., 4. un 6. kolonnā norādīt to īstenošanai resora "Ministru kabinets" budžetā 2025.- 2028.gadam paredzētā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