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20.02.2025. atzinumā bija lūgusi papildināt anotācijas 4.sadaļu ar informāciju par likumu "Par nodokļiem un nodevām", kurā būs veicami grozījumi saistībā ar to, ka noteikumos būs noteikta vienota kārtība, kas tiek piemērota gadījumos, kad tiek pieņemts uzraudzības iestādes lēmums, ar kuru tiek ierobežots nelikumīgs saturs tiešsaistē.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precizētās anotācijas šī informācija ir svītrota.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secinām, tad šāda rīcība ir saistīta ar Tieslietu ministrijas 20.03.2025. atzinumu, kurā tā ir aicinājusi svītrot anotācijas 4.1.1., 4.1.2., 4.1.3. un 4.1.4.apakšsadaļu, kas paredz, ka projekta saistītie tiesību aktu projekti ir grozījumi vairākos likumos. Kā uzsvērusi Tieslietu ministrija, Ministru kabineta noteikumiem ir jāatbilst likumiem, nevis likumi jāpieskaņo Ministru kabineta noteikumiem, un tādējādi ir nekorekti norādīt, ka projekta saistītie tiesību aktu projekti ir grozījumi konkrētajos likumos.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Tieslietu ministrija ir norādījusi, ka</w:t>
            </w:r>
            <w:r w:rsidR="00000000" w:rsidRPr="00000000" w:rsidDel="00000000">
              <w:rPr>
                <w:b w:val="1"/>
                <w:rtl w:val="0"/>
              </w:rPr>
              <w:t xml:space="preserve"> informāciju par grozījumiem likumos var ietvert anotācijas 1.3.apakšsadaļā.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anotācijas 1.3.apakšsadaļā ietvert informāciju, ka saistībā ar to, ka noteikumos būs noteikta vienota kārtība, kas piemērojama gadījumos, kad tiek pieņemts uzraudzības iestādes lēmums, ar kuru tiek ierobežots nelikumīgs saturs tiešsaistē, ir pārskatāms likuma "Par nodokļiem un nodevām"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03.04.2025. 11.54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03.04.2025. 11.54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