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ieņēmumu dienestu”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(ex-ante) novērtējuma ziņojuma (anotācijas) (turpmāk – anotācija) 1.3. punktā ir norādīts, ka Ministru kabinets paredzēs, ka lēmumu par mantas konfiskāciju pieņems institūcija, kura nodrošināja mantas glabāšanu līdz tās konfiskācijai.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uz to, ka atbilstoši Administratīvās atbildības likuma 155. pantam par rīcību ar administratīvā pārkāpuma lietā izņemtajām mantām lemj amatpersona, pieņemot lēmumu administratīvā pārkāpuma lietā. Tāpat arī atbilstoši Kriminālprocesa likuma 240. pantam, to, kas darāms ar lietiskajiem pierādījumiem, dokumentiem, ar noziedzīgu nodarījumu saistīto mantu un citiem izņemtajiem priekšmetiem un vērtībām, norāda lēmumā par kriminālprocesa izbeigšanu, prokurora priekšrakstā vai tiesas nolēmumā.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anotācijā minētajām iestādēm atbilstoši administratīvā pārkāpuma procesa un kriminālprocesuālajam regulējumam nav tiesību pieņemt lēmumu par attiecīgo mantu konfiskāciju. Ievērojot minēto,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23-TA-1695</w:t>
    </w:r>
    <w:r>
      <w:br/>
    </w:r>
    <w:r w:rsidR="00000000" w:rsidRPr="00000000" w:rsidDel="00000000">
      <w:rPr>
        <w:rtl w:val="0"/>
      </w:rPr>
      <w:t xml:space="preserve">Izdrukāts 06.09.2023.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23-TA-1695</w:t>
    </w:r>
    <w:r>
      <w:br/>
    </w:r>
    <w:r w:rsidR="00000000" w:rsidRPr="00000000" w:rsidDel="00000000">
      <w:rPr>
        <w:rtl w:val="0"/>
      </w:rPr>
      <w:t xml:space="preserve">Izdrukāts 06.09.2023.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Atzinumi_23-TA-1695.docx</dc:title>
</cp:coreProperties>
</file>

<file path=docProps/custom.xml><?xml version="1.0" encoding="utf-8"?>
<Properties xmlns="http://schemas.openxmlformats.org/officeDocument/2006/custom-properties" xmlns:vt="http://schemas.openxmlformats.org/officeDocument/2006/docPropsVTypes"/>
</file>