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lidaparātu operatoriem, proti, pieteikuma iesniegšana lidojuma atļaujas saņemšanai (noteikumu 3., 14.–16. un 23.–25. punkts), lūdzam veikt tiesību aktā iekļauto informācijas sniegšanas pienākumu izvērtējumu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kādā veidā informācija ir sagatavojama un sniedzama (iesnieguma sagatavošanas laiks, papildus iegūstamās informācijas veidi, iesnieguma nosūtīšana – e-pasts, informācijas sistēma, vēstule u. c.), kā arī noteikt noteikumos Nr. 617 paredzēto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aprēķinu veikšanu, Valsts kanceleja aicina izmantot Vadlīnijās tiesību akta sākotnējās ietekmes novērtēšanai un novērtējuma ziņojuma sagatavošanai vienotajā TAP portālā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norādītās mērķa grupas, ņemot vērā to, ka Latvijas valsts iestādes ir noteikumu projekta īstenotāji.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publisko tiesību juridiskās personas — ārvalstu valstu un starptautisko organizāciju institūcijas. Šo noteikumu kontekstā tie ir trešo valstu valsts lidaparātu operatori, NATO un Eiropas Savienības dalībvalstu valsts lidaparātu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16.01.2026.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16.01.2026.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