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23-TA-1285: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 – 2027. gadam 4.2.2. specifiskā atbalsta mērķa "Uzlabot izglītības un mācību sistēmu kvalitāti, iekļautību, efektivitāti un nozīmīgumu darba tirgū, tostarp ar neformālās un ikdienējās mācīšanās validēšanas palīdzību, lai atbalstītu pamatkompetenču, tostarp uzņēmējdarbības un digitālo prasmju, apguvi, un sekmējot duālo mācību sistēmu un māceklības ieviešanu" 4.2.2.1. pasākuma "Kvalitatīvas un mūsdienīgas izglītības īstenošana pirmsskolas, pamata un vidējās izglītības pakāpē"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Lielo pilsētu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16.10.2024.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16.10.2024.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Eiropas Savienības Kohēzijas politikas programmas 2021. – 2027. gadam 4.2.2. specifiskā atbalsta mērķa "Uzlabot izglītības un mācību sistēmu kvalitāti, iekļautību, efektivitāti un nozīmīgumu darba tirgū, tostarp ar neformālās un ikdienējās mācīšanās validēšanas palīdzību, lai atbalstītu pamatkompetenču, tostarp uzņēmējdarbības un digitālo prasmju, apguvi, un sekmējot duālo mācību sistēmu un māceklības ieviešanu" 4.2.2.1. pasākuma "Kvalitatīvas un mūsdienīgas izglītības īstenošana pirmsskolas, pamata un vidējās izglītības pakāpē" īstenošanas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kāds ir plānots finansējuma piešķiršanas periods, vai tas tiek plānots līdzīgi kā programmā “Latvijas skolas soma” divos periodos (janvāris -maijs un septembris - decembris).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Eiropas Savienības Kohēzijas politikas programmas 2021. – 2027. gadam 4.2.2. specifiskā atbalsta mērķa "Uzlabot izglītības un mācību sistēmu kvalitāti, iekļautību, efektivitāti un nozīmīgumu darba tirgū, tostarp ar neformālās un ikdienējās mācīšanās validēšanas palīdzību, lai atbalstītu pamatkompetenču, tostarp uzņēmējdarbības un digitālo prasmju, apguvi, un sekmējot duālo mācību sistēmu un māceklības ieviešanu" 4.2.2.1. pasākuma "Kvalitatīvas un mūsdienīgas izglītības īstenošana pirmsskolas, pamata un vidējās izglītības pakāpē" īstenošanas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Ekonomikas zonas finanšu instrumenta un Norvēģijas finanšu instrumenta 2014.–2021. gada perioda programmas “Pētniecība un izglītība” aktivitātes “Inovācijas centri” ietvaros Liepājā, Ventspilī, Cēsīs un Daugavpilī izveidoti un attīstīti inovāciju centri (turpmāk – EEZ/N projekti). EEZ/N projektu uzraudzības periodā – turpmākos piecus gadus ir jānodrošina rezultātu saglabāšanas un ilgtspējas uzraudzība, tai skaitā inovāciju centru apmeklētāju uzskaite (uzraudzības periodā nav EEZ/N projektu finansējuma). Lūdzam skaidrot, kādi šī sakarā ir pastāvošie riski inovāciju centriem. Piemēram, vai ir atļauts vienu un to pašu apmeklētāju (izglītojamais, pavadošā persona) uzskaitīt gan EEZ/N projekta uzraudzības perioda vajadzībām, gan šī noteikumu projekta sakarā, kas konkrētā kontekstā ir vērtējami kā objektīvi apstākļi (izglītojamais, kas apmeklējis inovāciju centru un vienlaikus arī piedalījies inovāciju centra norisē). Tāpat lūdzam skaidrot, vai EEZ/N projektos izstrādātās norises (izglītojošas, licencētas programmas) būs ļauts piedāvāt šī projekta norišu katalogā.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Eiropas Savienības Kohēzijas politikas programmas 2021. – 2027. gadam 4.2.2. specifiskā atbalsta mērķa "Uzlabot izglītības un mācību sistēmu kvalitāti, iekļautību, efektivitāti un nozīmīgumu darba tirgū, tostarp ar neformālās un ikdienējās mācīšanās validēšanas palīdzību, lai atbalstītu pamatkompetenču, tostarp uzņēmējdarbības un digitālo prasmju, apguvi, un sekmējot duālo mācību sistēmu un māceklības ieviešanu" 4.2.2.1. pasākuma "Kvalitatīvas un mūsdienīgas izglītības īstenošana pirmsskolas, pamata un vidējās izglītības pakāpē" īstenošanas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norišu pieteikšanas sistēmā (veidlapā) iekļaut prasību par atsauci uz konkrēto zinātnes nozaru grupu, zinātnes nozari un zinātnes apakšnozari saskaņā ar ko izstrādāta konkrētā norise. Lai izvairītos no atšķirīgām STEM jomu interpretācijām, būtu vēlama iebūvēta izvēļņu josla, kas ilgtermiņā ļautu viennozīmīgāk analizēt, kurās STEM jomās izstrādāts vairāk un mazāk norišu.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Eiropas Savienības Kohēzijas politikas programmas 2021. – 2027. gadam 4.2.2. specifiskā atbalsta mērķa "Uzlabot izglītības un mācību sistēmu kvalitāti, iekļautību, efektivitāti un nozīmīgumu darba tirgū, tostarp ar neformālās un ikdienējās mācīšanās validēšanas palīdzību, lai atbalstītu pamatkompetenču, tostarp uzņēmējdarbības un digitālo prasmju, apguvi, un sekmējot duālo mācību sistēmu un māceklības ieviešanu" 4.2.2.1. pasākuma "Kvalitatīvas un mūsdienīgas izglītības īstenošana pirmsskolas, pamata un vidējās izglītības pakāpē" īstenošanas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vai ir plānots noteikt norišu licencēšanu īstenošanas administratīvajā teritorijā.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Eiropas Savienības Kohēzijas politikas programmas 2021. – 2027. gadam 4.2.2. specifiskā atbalsta mērķa "Uzlabot izglītības un mācību sistēmu kvalitāti, iekļautību, efektivitāti un nozīmīgumu darba tirgū, tostarp ar neformālās un ikdienējās mācīšanās validēšanas palīdzību, lai atbalstītu pamatkompetenču, tostarp uzņēmējdarbības un digitālo prasmju, apguvi, un sekmējot duālo mācību sistēmu un māceklības ieviešanu" 4.2.2.1. pasākuma "Kvalitatīvas un mūsdienīgas izglītības īstenošana pirmsskolas, pamata un vidējās izglītības pakāpē" īstenošanas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vai tiks attiecinātas arī individuālās, ne tikai grupas/klases kolektīvās norises, ja tas saistāms ar mācību satura sasniedzamo rezultātu. It sevišķi nozīmīgs šis faktors būtu kontekstā ar starpdisciplinārā kursa “Projekta darbs” īstenošanas iespēju norises vietā.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Eiropas Savienības Kohēzijas politikas programmas 2021. – 2027. gadam 4.2.2. specifiskā atbalsta mērķa "Uzlabot izglītības un mācību sistēmu kvalitāti, iekļautību, efektivitāti un nozīmīgumu darba tirgū, tostarp ar neformālās un ikdienējās mācīšanās validēšanas palīdzību, lai atbalstītu pamatkompetenču, tostarp uzņēmējdarbības un digitālo prasmju, apguvi, un sekmējot duālo mācību sistēmu un māceklības ieviešanu" 4.2.2.1. pasākuma "Kvalitatīvas un mūsdienīgas izglītības īstenošana pirmsskolas, pamata un vidējās izglītības pakāpē" īstenošanas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vai ir plānots ierobežojums attiecībā uz to, cik reizes nodrošināma iespēja piedalīties norisēs vieniem un tiem pašiem izglītojamiem. Lūdzam neierobežot tā kā tikai sistemātiskums var veicināt ilgtermiņa intereses noturību STEM jomās, kas ir būtisks faktors karjeras izvēlē.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Nacionālie rādītāji ir:</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nacionālo rādītāju sasniegšanai izstrādāt vienotu, e-vidē un kvalitatīvā datu analītikā balstītu datu ieguves un interpretācijas risinājumu.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kā tiek plānots iegūt 6.3. apakšpunktā minētos datus. Vēršam uzmanību, ka sadarbības partnera (pašvaldības) saziņas iespēja ar absolventiem ir ierobežota.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Šo noteikumu </w:t>
            </w:r>
            <w:r w:rsidR="00000000" w:rsidRPr="00000000" w:rsidDel="00000000">
              <w:rPr>
                <w:rtl w:val="0"/>
              </w:rPr>
              <w:t xml:space="preserve">13.</w:t>
            </w:r>
            <w:r w:rsidR="00000000" w:rsidRPr="00000000" w:rsidDel="00000000">
              <w:rPr>
                <w:rtl w:val="0"/>
              </w:rPr>
              <w:t xml:space="preserve"> punktā minētajiem sadarbības partneriem pieejamais finansējuma apmērs tiek aprēķināts, pamatojoties uz Valsts izglītības informācijas sistēmas datiem par izglītojamo skaitu iepriekšējā mācību gada 1. oktobrī.</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izskaidrot detalizētāk finansējuma apmēra aprēķināšanas formulu katram sadarbības partnerim (pašvaldībai).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17.1. norišu kataloga izveide un uzturēšana;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kad paredzēta digitālā norišu kataloga publiska pieejamība.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w:t>
            </w:r>
            <w:r w:rsidR="00000000" w:rsidRPr="00000000" w:rsidDel="00000000">
              <w:rPr>
                <w:i w:val="1"/>
                <w:rtl w:val="0"/>
              </w:rPr>
              <w:t xml:space="preserve">Noteikumu projekts paredz, ka attiecināmās izmaksas norišu apmeklējumam ietvers […] izdevumus (sabiedriskā transporta biļetes, izdevumi par degvielu un transporta nomu) izglītojamo un pavadošo personu nokļūšanai uz norises vietu un atpakaļ. Minētajām norises apmeklējuma izmaksām plānots piemērot vienkāršoto izmaksu metodi, to saskaņojot ar vadošo iestādi.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izstrādāt vienotu kārtību transporta izdevumu pamatojošo dokumentu iesniegšanai, apstrādei, pārbaudei un apmaksas veikšanai sadarbības partneriem (pašvaldībām) un izglītības iestādēm.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w:t>
            </w:r>
            <w:r w:rsidR="00000000" w:rsidRPr="00000000" w:rsidDel="00000000">
              <w:rPr>
                <w:i w:val="1"/>
                <w:rtl w:val="0"/>
              </w:rPr>
              <w:t xml:space="preserve">Satura kvalitātes nodrošināšanai un atbilstībai apgūstamajam mācību saturam paredzēta finansējuma saņēmēju vecāko ekspertu un pašvaldību un izglītības iestāžu metodiķu iesaiste, kā arī darbnīcas un individuālas konsultācijas norišu piedāvātājiem pēc nepieciešamības.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norišu atbilstību vērtēt ne tikai kontekstā ar atbilstību apgūstamajam mācību saturam, bet arī darba tirgus tendencēm un vajadzībām, līdz ar to kvalitātes nodrošināšanas un atbilstības noteikšanai nepieciešama industriju iesaistīšana. It sevišķi tāpēc, ka gan anotācijā, gan noteikumu projektā akcentēta atbilstības nepieciešamība darba tirgum.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w:t>
            </w:r>
            <w:r w:rsidR="00000000" w:rsidRPr="00000000" w:rsidDel="00000000">
              <w:rPr>
                <w:i w:val="1"/>
                <w:rtl w:val="0"/>
              </w:rPr>
              <w:t xml:space="preserve">Minētajām norises apmeklējuma izmaksām plānots piemērot vienkāršoto izmaksu metodi, to saskaņojot ar vadošo iestādi.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izskaidrot vienkāršotās izmaksu metodes aprēķināšanas komponentes. Lūdzam ņemt vērā norises ilgumu. Norises ilgums ir būtiska komponente ilgtermiņa intereses noturībai STEM jomās.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w:t>
            </w:r>
            <w:r w:rsidR="00000000" w:rsidRPr="00000000" w:rsidDel="00000000">
              <w:rPr>
                <w:i w:val="1"/>
                <w:rtl w:val="0"/>
              </w:rPr>
              <w:t xml:space="preserve"> […] nav ierobežojuma tam, kas var piedāvāt norisi […]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izskaidrot, vai sadarbības partneris (pašvaldība) piešķirtā finansējuma daļu varēs novirzīt tādam norises pakalpojuma sniedzējam, kas ir tās pašas pašvaldības padotībā esoša iestāde. Piemēram, inovāciju centra dibinātājs ir pati pašvaldība.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w:t>
            </w:r>
            <w:r w:rsidR="00000000" w:rsidRPr="00000000" w:rsidDel="00000000">
              <w:rPr>
                <w:i w:val="1"/>
                <w:rtl w:val="0"/>
              </w:rPr>
              <w:t xml:space="preserve"> Anotācijā norādīts, ka sadarbības partnera īstenošanas personāla iesaiste plānota nelielas slodzes apmērā (grāmatvedim 0,1 slodze mēnesī, metodiķiem izglītības iestādēs 66 stundu apmērā gadā un pašvaldībās 20 stundu apmērā gadā),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izskaidrot, vai plānots ierobežojums tikai uz šiem noteiktiem amata nosaukumiem un tikai norādītā apjomā. Lūdzam iekļaut sadarbības partnera (pašvaldības) projekta vadītāju vai koordinatoru īstenošanas personāla sastāvā. Lūdzam atļaut sadarbības partnerim (pašvaldībai) autonomi un pēc tās struktūras specifikas izlemt īstenošanas personāla konkrētos amata nosaukumus un apjomus, vienlaikus saglabājot nosacījumu par vadošās iestādes izmaksu aprēķināšanas vadlīnijām.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23-TA-1285</w:t>
    </w:r>
    <w:r>
      <w:br/>
    </w:r>
    <w:r w:rsidR="00000000" w:rsidRPr="00000000" w:rsidDel="00000000">
      <w:rPr>
        <w:rtl w:val="0"/>
      </w:rPr>
      <w:t xml:space="preserve">Izdrukāts 16.10.2024. 21.00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23-TA-1285</w:t>
    </w:r>
    <w:r>
      <w:br/>
    </w:r>
    <w:r w:rsidR="00000000" w:rsidRPr="00000000" w:rsidDel="00000000">
      <w:rPr>
        <w:rtl w:val="0"/>
      </w:rPr>
      <w:t xml:space="preserve">Izdrukāts 16.10.2024. 21.00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Atzinumi_23-TA-1285.docx</dc:title>
</cp:coreProperties>
</file>

<file path=docProps/custom.xml><?xml version="1.0" encoding="utf-8"?>
<Properties xmlns="http://schemas.openxmlformats.org/officeDocument/2006/custom-properties" xmlns:vt="http://schemas.openxmlformats.org/officeDocument/2006/docPropsVTypes"/>
</file>