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nesaskata kompetenci pasākuma M.4.3. "Pilnveidot gaisa aizsardzības tiesisko regulējumu, uzlabojot esošo pieeju transporta radītā gaisa piesārņojuma samazināšanai maksimāli koncentrējoties uz teritorijām ar būtiskām gaisa kvalitātes problēmām"(71. lpp.) izpildē kā atbildīgā ministrija, jo pasākums galvenokārt attiecas uz normatīvajiem aktiem, kas skar pašvaldību regulējumu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norādot Satiksmes ministriju kā līdzatbildīgu ministriju pasākuma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M.4.1 pasākumu "Finansiāli atbalstīt tīro transportlīdzekļu izmantošanu valsts un pašvaldību funkciju izpildei un sabiedriskajā transportā (jauna programma)" (70. lpp.) nav plānots veikt un tam nav paredzēts attiecīgs finansējums, Satiksmes ministrija iebilst būt par galveno atbildīgo ministriju minētā pasākuma izpildē.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izstrādāts projekts "Rīgas pilsētas gaisa kvalitātes uzlabošanas rīcības programmai 2026.–2030.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plana projekta 2. pielikumā B.7.2.2. pasākumā atsaukties uz Rīgas pilsētas gaisa kvalitātes uzlabošanas rīcības programmu 2021. -2025.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Eglīte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2.pielikuma B.4.5. pasākuma ailē "Rezultatīvais rādītājs" ietvertā indikatīvā plāna periodu, izsakot to šādā redakcijā: "Indikatīvais dzelzceļa infrastruktūras attīstības plāns 2025.–2029.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Balaša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bāzes scenārija aprēķiniem par B.4.8. pasākumu un plāna 3.2.1. apakšnodaļā minēto, ka pēc īpatsvara lielākajā NOx emisiju avotu grupā transporta sektorā prognozēts, ka emisijas 2030. gadā samazināsies par 26,8 % pret 2022. gadu, šajos aprēķinos lūdzam ņemt vērā, ka Latvija ir viena no dažām Eiropas Savienības dalībvalstīm, kas ir ieviesusi cieto daļiņu (PN) mērīšanas procedūru. Šīs pārbaudes metodes izstrāde, nepieciešamo iekārtu nodrošināšana tirgū un nepieciešamās apmācības prasīja </w:t>
            </w:r>
            <w:r w:rsidR="00000000" w:rsidRPr="00000000" w:rsidDel="00000000">
              <w:rPr>
                <w:u w:val="single"/>
                <w:rtl w:val="0"/>
              </w:rPr>
              <w:t xml:space="preserve">10 gadus</w:t>
            </w:r>
            <w:r w:rsidR="00000000" w:rsidRPr="00000000" w:rsidDel="00000000">
              <w:rPr>
                <w:rtl w:val="0"/>
              </w:rPr>
              <w:t xml:space="preserve">. Arī attiecībā uz jauno dīzeļmotoru NOx (slāpekļa oksīdu) pārbaudēm metode, kas ir praksē piemērojama Eiropas dažādos klimatiskajos apstākļos, tostarp Latvijas gadījumā būtiski -  temperatūrā zem -10°C, </w:t>
            </w:r>
            <w:r w:rsidR="00000000" w:rsidRPr="00000000" w:rsidDel="00000000">
              <w:rPr>
                <w:u w:val="single"/>
                <w:rtl w:val="0"/>
              </w:rPr>
              <w:t xml:space="preserve">vēl nav apstiprināta</w:t>
            </w:r>
            <w:r w:rsidR="00000000" w:rsidRPr="00000000" w:rsidDel="00000000">
              <w:rPr>
                <w:rtl w:val="0"/>
              </w:rPr>
              <w:t xml:space="preserve">. Līdz ar to arī tirgū nav pieejamas NOx pārbaudes iekārtas, kas nozīmē, ka tuvākajos gados tādas netiks izmantotas.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 aprēķiniem svītrot minētā pasākuma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 pielikumā informāciju tabulā.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07"/>
              <w:gridCol w:w="294"/>
              <w:gridCol w:w="282"/>
              <w:gridCol w:w="269"/>
              <w:gridCol w:w="256"/>
              <w:gridCol w:w="239"/>
              <w:gridCol w:w="209"/>
              <w:gridCol w:w="166"/>
              <w:tblGridChange w:id="0">
                <w:tblGrid>
                  <w:gridCol w:w="307"/>
                  <w:gridCol w:w="294"/>
                  <w:gridCol w:w="282"/>
                  <w:gridCol w:w="269"/>
                  <w:gridCol w:w="256"/>
                  <w:gridCol w:w="239"/>
                  <w:gridCol w:w="209"/>
                  <w:gridCol w:w="16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 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rezultāts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Ietekmētās vielas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Rezultatīvais 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Līdzatbildīgās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Izpildes termiņš</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Elektrotīkla pieslēgumu pie piestātnēm un drošu kuģošanas apstākļu nodrošināšana ostās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 emisijas, ko rada kuģu palīgdzinēju darbināšana stāvēšanas laikā piestātnēs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PM</w:t>
                  </w:r>
                  <w:r w:rsidR="00000000" w:rsidRPr="00000000" w:rsidDel="00000000">
                    <w:rPr>
                      <w:sz w:val="24"/>
                      <w:vertAlign w:val="subscript"/>
                      <w:rtl w:val="0"/>
                    </w:rPr>
                    <w:t xml:space="preserve">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w:t>
                  </w:r>
                  <w:r w:rsidR="00000000" w:rsidRPr="00000000" w:rsidDel="00000000">
                    <w:rPr>
                      <w:sz w:val="24"/>
                      <w:vertAlign w:val="sub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w:t>
                  </w:r>
                  <w:r w:rsidR="00000000" w:rsidRPr="00000000" w:rsidDel="00000000">
                    <w:rPr>
                      <w:sz w:val="24"/>
                      <w:vertAlign w:val="subscript"/>
                      <w:rtl w:val="0"/>
                    </w:rPr>
                    <w:t xml:space="preserv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Ostu skaits, kurās veiktas investīcijas – divas ostas.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Tiek īstenotas esošās atbalsta programmas.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w:t>
                  </w:r>
                  <w:r w:rsidR="00000000" w:rsidRPr="00000000" w:rsidDel="00000000">
                    <w:rPr>
                      <w:sz w:val="24"/>
                      <w:b w:val="1"/>
                      <w:rtl w:val="0"/>
                    </w:rPr>
                    <w:t xml:space="preserve">brīvostas</w:t>
                  </w:r>
                  <w:r w:rsidR="00000000" w:rsidRPr="00000000" w:rsidDel="00000000">
                    <w:rPr>
                      <w:sz w:val="24"/>
                      <w:rtl w:val="0"/>
                    </w:rPr>
                    <w:t xml:space="preserve">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Liepājas speciālās ekonomiskās zonas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Liepājas, Ventspils 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atbalsta sniegšana multimodālu transporta mezglu un pārsēšanās punktu veidošanai: stāvparku, sabiedriskā transporta pieturu un velonovietņu izveide pie dzelzceļa stacijām, sabiedriskā transporta un dzelzceļa pieturu satuvināšanai.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veicināta sabiedriskā transporta un velotransporta izmantošana un samazinās privātā transporta radītais gaisa piesārņojums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PM</w:t>
                  </w:r>
                  <w:r w:rsidR="00000000" w:rsidRPr="00000000" w:rsidDel="00000000">
                    <w:rPr>
                      <w:sz w:val="24"/>
                      <w:vertAlign w:val="subscript"/>
                      <w:rtl w:val="0"/>
                    </w:rPr>
                    <w:t xml:space="preserve">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w:t>
                  </w:r>
                  <w:r w:rsidR="00000000" w:rsidRPr="00000000" w:rsidDel="00000000">
                    <w:rPr>
                      <w:sz w:val="24"/>
                      <w:vertAlign w:val="subscript"/>
                      <w:rtl w:val="0"/>
                    </w:rPr>
                    <w:t xml:space="preserv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īstenotas esošās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 fondi – vismaz 25 projekti.</w:t>
                  </w:r>
                  <w:r w:rsidR="00000000" w:rsidRPr="00000000" w:rsidDel="00000000">
                    <w:rPr>
                      <w:sz w:val="24"/>
                      <w:b w:val="1"/>
                      <w:rtl w:val="0"/>
                    </w:rPr>
                    <w:t xml:space="preserve">Papildus skatīt B.7.2.5.pasākumu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un pašvaldību kapitālsabiedrības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akciju sabiedrība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Velosipēdu ceļu izbūve gar autoceļiem un pašvaldību teritorijās atbilstoši pašvaldību teritorijas attīstības plānošanas dokumentiem un/vai pilsētu mobilitātes plāniem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 privātā transporta radītais piesārņojums velotransporta izmantošanas pieauguma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PM</w:t>
                  </w:r>
                  <w:r w:rsidR="00000000" w:rsidRPr="00000000" w:rsidDel="00000000">
                    <w:rPr>
                      <w:sz w:val="24"/>
                      <w:vertAlign w:val="subscript"/>
                      <w:rtl w:val="0"/>
                    </w:rPr>
                    <w:t xml:space="preserve">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w:t>
                  </w:r>
                  <w:r w:rsidR="00000000" w:rsidRPr="00000000" w:rsidDel="00000000">
                    <w:rPr>
                      <w:sz w:val="24"/>
                      <w:vertAlign w:val="subscript"/>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jauna atdalītā riteņbraukšanas infrastruktūra – 60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infrastruktūras lietotāju skaits: 5820 lietotāji 2029. gadā (bāze </w:t>
                  </w:r>
                  <w:r w:rsidR="00000000" w:rsidRPr="00000000" w:rsidDel="00000000">
                    <w:rPr>
                      <w:sz w:val="24"/>
                      <w:b w:val="1"/>
                      <w:rtl w:val="0"/>
                    </w:rPr>
                    <w:t xml:space="preserve">– 0 lietotāji (2020.gadā)) </w:t>
                  </w:r>
                  <w:r w:rsidR="00000000" w:rsidRPr="00000000" w:rsidDel="00000000">
                    <w:rPr>
                      <w:sz w:val="24"/>
                      <w:b w:val="1"/>
                      <w:rtl w:val="0"/>
                    </w:rPr>
                    <w:t xml:space="preserve">Papildus skatīt B.7.2.5.pasākumu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sabiedrība ar ierobežotu atbildību "Latvijas valsts ceļi", 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Rīgas metropoles areāla transporta sistēmas zaļināšana* </w:t>
                  </w:r>
                  <w:r w:rsidR="00000000" w:rsidRPr="00000000" w:rsidDel="00000000">
                    <w:rPr>
                      <w:sz w:val="24"/>
                      <w:b w:val="1"/>
                      <w:rtl w:val="0"/>
                    </w:rPr>
                    <w:t xml:space="preserve">*Atbilstoši 13.11.2025. MK rīkojumam Nr.728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Īstenoti transporta projekti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PM</w:t>
                  </w:r>
                  <w:r w:rsidR="00000000" w:rsidRPr="00000000" w:rsidDel="00000000">
                    <w:rPr>
                      <w:sz w:val="24"/>
                      <w:vertAlign w:val="subscript"/>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PM</w:t>
                  </w:r>
                  <w:r w:rsidR="00000000" w:rsidRPr="00000000" w:rsidDel="00000000">
                    <w:rPr>
                      <w:sz w:val="24"/>
                      <w:vertAlign w:val="subscript"/>
                      <w:rtl w:val="0"/>
                    </w:rPr>
                    <w:t xml:space="preserve">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w:t>
                  </w:r>
                  <w:r w:rsidR="00000000" w:rsidRPr="00000000" w:rsidDel="00000000">
                    <w:rPr>
                      <w:sz w:val="24"/>
                      <w:vertAlign w:val="subscript"/>
                      <w:rtl w:val="0"/>
                    </w:rPr>
                    <w:t xml:space="preserv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Konkurētspējīgs dzelzceļa pasažieru transports kopējā Rīgas pilsētas ST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Izveidotas elektrificētas dzelzceļa līnijas un modernizētas esošās dzelzceļa līnijas pasažieru pārvadāšanai – 100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Videi draudzīgi uzlabojumi Rīgas pilsētas ST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iegādāti 17 elektroautobusi;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 autobusu uzlādes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izveidoti 8 mobilitātes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1 sabiedriskā transporta mezgls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Izbūvēts tramvaja līnijas (2,2 km) un trolejbusu līnijas (0,3 km)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Pilnveidota veloceļu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52 km jaunizbūvētās vai pārbūvētās veloinfrastruktūras Rīgā un Pierīgā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VAS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SIA “Rīgas satiksme”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Ādažu un Saulkrastu novadu 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-2029.gads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Eglīte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plāna projekta termiņu, ņemot vērā, ka 2025. gads tuvojas izskaņai.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2026.-2030.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Eglīte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