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25-TA-358: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2. maija noteikumos Nr. 309 "Noteikumi par koku ciršanu ārpus meža"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Šo noteikumu </w:t>
            </w:r>
            <w:r w:rsidR="00000000" w:rsidRPr="00000000" w:rsidDel="00000000">
              <w:rPr>
                <w:rtl w:val="0"/>
              </w:rPr>
              <w:t xml:space="preserve">5.5.</w:t>
            </w:r>
            <w:r w:rsidR="00000000" w:rsidRPr="00000000" w:rsidDel="00000000">
              <w:rPr>
                <w:rtl w:val="0"/>
              </w:rPr>
              <w:t xml:space="preserve">apakšpunktā minētajā gadījumā nocērtamo koku fotografē vismaz no trijiem skatu punktiem tā, lai būtu skaidri redzamas drošību ietekmējošās koka daļas (paceltas saknes, sašķelts, aizlūzis vai nolūzis stumbrs). Vismaz piecas darbdienas pēc koka nociršanas nav pieļaujama koka celma un, vēlams, arī stumbra daļu aizvākšana, lai pašvaldība varētu pārbaudīt koka bīstamības pamatotību.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ilggadīgo pieredzi saistībā vētrās kritušajiem kokiem uz dzelzceļa, kā arī globālās klimata izmaiņas, radušies ievērojami zaudējumi transporta infrastruktūras pārvaldīšanā, līdz ar to nepieciešams pievērst lielāku uzmanību, lai maksimāli nodrošinātu infrastruktūras darbību, cilvēka veselību, dzīvību vai īpašumu. Ievērojot minēto, lūdzam papildināt Ministru kabineta 2012. gada 2. maija noteikumu Nr. 309 "Noteikumi par koku ciršanu ārpus meža"  6.punktu pēc vārdiem </w:t>
            </w:r>
            <w:r w:rsidR="00000000" w:rsidRPr="00000000" w:rsidDel="00000000">
              <w:rPr>
                <w:i w:val="1"/>
                <w:rtl w:val="0"/>
              </w:rPr>
              <w:t xml:space="preserve">“koka daļas”</w:t>
            </w:r>
            <w:r w:rsidR="00000000" w:rsidRPr="00000000" w:rsidDel="00000000">
              <w:rPr>
                <w:rtl w:val="0"/>
              </w:rPr>
              <w:t xml:space="preserve"> ar vārdiem </w:t>
            </w:r>
            <w:r w:rsidR="00000000" w:rsidRPr="00000000" w:rsidDel="00000000">
              <w:rPr>
                <w:i w:val="1"/>
                <w:rtl w:val="0"/>
              </w:rPr>
              <w:t xml:space="preserve">“vai citas pazīmes”</w:t>
            </w:r>
            <w:r w:rsidR="00000000" w:rsidRPr="00000000" w:rsidDel="00000000">
              <w:rPr>
                <w:rtl w:val="0"/>
              </w:rPr>
              <w:t xml:space="preserve"> un pēc vārdiem “</w:t>
            </w:r>
            <w:r w:rsidR="00000000" w:rsidRPr="00000000" w:rsidDel="00000000">
              <w:rPr>
                <w:i w:val="1"/>
                <w:rtl w:val="0"/>
              </w:rPr>
              <w:t xml:space="preserve">nolūzis stumbrs” </w:t>
            </w:r>
            <w:r w:rsidR="00000000" w:rsidRPr="00000000" w:rsidDel="00000000">
              <w:rPr>
                <w:rtl w:val="0"/>
              </w:rPr>
              <w:t xml:space="preserve">ar vārdiem </w:t>
            </w:r>
            <w:r w:rsidR="00000000" w:rsidRPr="00000000" w:rsidDel="00000000">
              <w:rPr>
                <w:i w:val="1"/>
                <w:rtl w:val="0"/>
              </w:rPr>
              <w:t xml:space="preserve">“koks ir sasvēries no vertikālās ass uz infrastruktūras objekta  pusi vairāk  par 15⁰, kokam ir nesimetrisks vainags, kura  skeletzari aug infrastruktūras objekta virzienā, koks, kurš ir augstāks par attālumu no koka sakņu kakla līdz infrastruktūras objektam, ja šāda koka stumbra garums no saknes līdz vainagam ir lielāks par 40% no visa koka garuma, kokam ir mehāniski bojāta sakņu sistēma, koks ir iztrupējis vai ar redzamām trupes pazīmēm, apdedzis koks, kokam noņemta miza līdz koksnei, koks ar slimības pazīmēm,  koks, kas aug pārlieku mitrā zemē, koks ar vairākām lielām galotnēm vai skeletzariem, kuri atzarojas no stumbra viena punkta, atsevišķi augošs koks,  uz kuru ir palielināta vēja ietekme.”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Šo noteikumu 5.5.apakšpunktā minētajā gadījumā nocērtamo koku fotografē vismaz no trijiem skatu punktiem tā, lai būtu skaidri redzamas drošību ietekmējošās koka daļas vai citas pazīmes  (paceltas saknes, sašķelts, aizlūzis vai nolūzis stumbrs, koks ir sasvēries no vertikālās ass uz infrastruktūras objekta  pusi vairāk  par 15⁰, kokam ir nesimetrisks vainags, kura  skeletzari aug infrastruktūras objekta virzienā, koks, kurš ir augstāks par attālumu no koka sakņu kakla līdz infrastruktūras objektam, ja šāda koka stumbra garums no saknes līdz vainagam ir lielāks par 40% no visa koka garuma, kokam ir mehāniski bojāta sakņu sistēma, koks ir iztrupējis vai ar redzamām trupes pazīmēm, apdedzis koks, kokam     noņemta miza līdz koksnei, koks ar slimības pazīmēm,  koks, kas aug pārlieku mitrā zemē, koks ar vairākām lielām galotnēm vai skeletzariem, kuri atzarojas no stumbra viena punkta, atsevišķi augošs koks,  uz kuru ir palielināta vēja ietekme). Vismaz piecas darbdienas pēc koka nociršanas nav pieļaujama koka celma un, vēlams, arī stumbra daļu aizvākšana, lai pašvaldība varētu pārbaudīt koka bīstamības pamatotību.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Beatrise Strazdiņa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koku ciršana nepieciešama būvniecībai un būvprojekta minimālajā sastāvā, apliecinājuma kartē vai paskaidrojuma rakstā ir norādīti izcērtamie koki vai izcērtamo koku daudzums, būvvaldes izsniegtā būvatļauja vai paskaidrojumu raksta akcepts uzskatāms arī par būvniecības dokumentācijā minēto koku ciršanas atļauju, izņemot šo noteikumu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minētajos gadījumos. Koku ciršanas atbilstību normatīvajiem aktiem izvērtē un šo noteikumu </w:t>
            </w:r>
            <w:r w:rsidR="00000000" w:rsidRPr="00000000" w:rsidDel="00000000">
              <w:rPr>
                <w:rtl w:val="0"/>
              </w:rPr>
              <w:t xml:space="preserve">23. </w:t>
            </w:r>
            <w:r w:rsidR="00000000" w:rsidRPr="00000000" w:rsidDel="00000000">
              <w:rPr>
                <w:rtl w:val="0"/>
              </w:rPr>
              <w:t xml:space="preserve">punktā</w:t>
            </w:r>
            <w:r w:rsidR="00000000" w:rsidRPr="00000000" w:rsidDel="00000000">
              <w:rPr>
                <w:rtl w:val="0"/>
              </w:rPr>
              <w:t xml:space="preserve"> minētos zaudējumu aprēķina tā iestāde, kas izdod atļauju būvniecībai. Koku ciršanu atļauts uzsākt, ja būvatļaujā ir izdarīta atzīme par būvniecības uzsākšanas nosacījumu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7. punktu atbilstoši terminoloģijai, kas noteikta būvniecības jomu reglamentējošajos normatīvajos aktos un izteikt atbilstoši piedāvātajai redakcijai.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koku ciršana nepieciešama būvniecībai un būvniecības ieceres dokumentācijā ir norādīti izcērtamie koki vai izcērtamo koku daudzums, būvvaldes izsniegtā būvatļauja vai paskaidrojumu raksta akcepts uzskatāms arī par būvniecības ieceres dokumentācijā minēto koku ciršanas atļauju, izņemot šo noteikumu 9. punktā minētajos gadījumos. Koku ciršanas atbilstību normatīvajiem aktiem izvērtē un šo noteikumu 23. punktā minētos zaudējumu aprēķina tā iestāde, kas izdod atļauju būvniecībai. Koku ciršanu atļauts uzsākt, ja būvatļaujā vai paskaidrojuma rakstā ir izdarīta atzīme par būvdarbu uzsākšanas nosacījumu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Supe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25-TA-358</w:t>
    </w:r>
    <w:r>
      <w:br/>
    </w:r>
    <w:r w:rsidR="00000000" w:rsidRPr="00000000" w:rsidDel="00000000">
      <w:rPr>
        <w:rtl w:val="0"/>
      </w:rPr>
      <w:t xml:space="preserve">Izdrukāts 04.08.2025. 18.57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25-TA-358</w:t>
    </w:r>
    <w:r>
      <w:br/>
    </w:r>
    <w:r w:rsidR="00000000" w:rsidRPr="00000000" w:rsidDel="00000000">
      <w:rPr>
        <w:rtl w:val="0"/>
      </w:rPr>
      <w:t xml:space="preserve">Izdrukāts 04.08.2025. 18.57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Atzinumi_25-TA-358.docx</dc:title>
</cp:coreProperties>
</file>

<file path=docProps/custom.xml><?xml version="1.0" encoding="utf-8"?>
<Properties xmlns="http://schemas.openxmlformats.org/officeDocument/2006/custom-properties" xmlns:vt="http://schemas.openxmlformats.org/officeDocument/2006/docPropsVTypes"/>
</file>