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22-TA-593: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 komponentes “Digitālā transformācija” 2.3. reformu un investīciju virziena “Digitālās prasmes” 2.3.1.2.i. investīcijas “Uzņēmumu digitālo prasmju attīstība”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pēc projekta precizēšanas pēc būtības nepieciešams atkārtoti izvērtēt projekta tekstu un nodrošināt tā atbilstību Ministru kabineta 2009. gada 3. februāra noteikumiem Nr. 108 "Normatīvo aktu projektu sagatavošanas noteikumi" (turpmāk - noteikumi Nr. 108). Tai skaitā un it īpaši nepieciešams novērst regulējuma dublēšanos projekta normās (iebildumi sniegti arī pie atsevišķām normām). Tāpat nepieciešams ievērot prasības par juridiskās terminoloģijas konsekvenci, valsts valodas literāro un gramatisko normu un pareizrakstības prasību ievērošanu, kā arī normatīvajiem aktiem atbilstošas vienotās stilistikas izmantošanu, lietot vienveidīgas un standartizētas vārdiskās izteiksmes. Norādām, ka šobrīd, ņemot vērā iepriekš minēto prasību neievērošanu daudzviet projektā, projekts ir grūti lasāms un dažviet pat grūti saprotams. Tāpat nepieciešams izvērtēt projekta normu izvietojumu un tās sistēmiski ietvert attiecīgās nodaļās. Attiecīgi lūdzam izvērtēt un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finansējuma saņēmējs - investīcijas pirmās vai otrās kārtas projekta iesniedzējs, kas saņēmis lēmumu par aptiprināšanu vai noraidīšanu un noslēdzis  šo noteikumu </w:t>
            </w:r>
            <w:r w:rsidR="00000000" w:rsidRPr="00000000" w:rsidDel="00000000">
              <w:rPr>
                <w:rtl w:val="0"/>
              </w:rPr>
              <w:t xml:space="preserve">59.5. </w:t>
            </w:r>
            <w:r w:rsidR="00000000" w:rsidRPr="00000000" w:rsidDel="00000000">
              <w:rPr>
                <w:rtl w:val="0"/>
              </w:rPr>
              <w:t xml:space="preserve">apakšpunktu</w:t>
            </w:r>
            <w:r w:rsidR="00000000" w:rsidRPr="00000000" w:rsidDel="00000000">
              <w:rPr>
                <w:rtl w:val="0"/>
              </w:rPr>
              <w:t xml:space="preserve">  minēto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2.11. apakšpunktā ir ietverta norāde uz noslēgto līgumu, nav loģiska norāde uz lēmumu "par noraidīšanu". Turklāt normā nav norādīts, par kā apstiprināšanu pieņemts attiecīgais lēmums. Attiecīgi lūdzam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saskaņā ar Valsts ieņēmumu dienesta administrēto nodokļu (nodevu) parādnieku datu bāzē pieejamo informāciju nav nodokļu vai nodevu parādu kas kopsummā pārsniedz 150 euro pēdējā datu aktualizācijas dienā pirms līguma slēgšanas;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14. punktā minētos nosacījumus saskaņā ar 16. punktu izvērtē Ekonomikas ministrija, kas arī atbilstības gadījumā apstiprina projektu iesniegumus, nav pilnībā saprotama norāde 14.3. apakšpunktā uz nodokļu un nodevu parādu, kas kopsummā pārsniedz 150 euro, izvērtēšanu </w:t>
            </w:r>
            <w:r w:rsidR="00000000" w:rsidRPr="00000000" w:rsidDel="00000000">
              <w:rPr>
                <w:u w:val="single"/>
                <w:rtl w:val="0"/>
              </w:rPr>
              <w:t xml:space="preserve">pēdējā datu aktualizācijas dienā pirms līguma slēgšanas </w:t>
            </w:r>
            <w:r w:rsidR="00000000" w:rsidRPr="00000000" w:rsidDel="00000000">
              <w:rPr>
                <w:rtl w:val="0"/>
              </w:rPr>
              <w:t xml:space="preserve">(salīdzinājumam sk. iepriekšējā saskaņošanā nodotās projekta redakcijas 26.2. apakšpunktu, tostarp norādi "CFLA pirms līguma slēgšanas pārliecinās").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arī, ka nepieciešams izmantot vienveidīgas un standartizētas izteiksmes. Piemēram, projekta 77. punktā ietverts šāds formulējums: "[..] nav nodokļu vai nodevu parādu,</w:t>
            </w:r>
            <w:r w:rsidR="00000000" w:rsidRPr="00000000" w:rsidDel="00000000">
              <w:rPr>
                <w:u w:val="single"/>
                <w:rtl w:val="0"/>
              </w:rPr>
              <w:t xml:space="preserve"> tai skaitā valsts sociālās apdrošināšanas obligāto iemaksu parādu,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projektu vai sniegt skaidrojumu. Līdzīgi lūdzam izvērtēt arī 18.2.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neatbilst šo noteikumu 25. punktā noteiktajiem izslēgšanas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25. punktā nav noteikti izslēgšanas kritēriji. Attiecīgi lūdzam precizēt projekta 14.7.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Pirmās atlases kārtas ietvaros projekta iesniedzējs sagatavo projekta iesniegumu saskaņā ar šajos noteikumos minētajām prasībām un iesniedz projektu Kohēzijas politikas fondu vadības informācijas sistēmā (turpmāk – Vadības informācijas sistēma) ministrijas noteiktā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 punkts vismaz daļēji dublē 22. punkta ievaddaļu, attiecīgi lūdzam svītrot vai citādi atbilstoši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 tai ir iepriekšēja pieredze prasmju pilnveides projektu īstenošanā vismaz trīs nepārtrauktus gadus ar dažādiem atbalsta projektiem, kas saistīti ar prasmju pilnveidi konkrētās nozares apmācībās un pēc apmācību kursu beigšanas izsniedz apliecinājumu par apmācību kursu apguvi.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18.8. apakšpunktā korekti ietverta frāze "un pēc apmācību kursu beigšanas izsniedz apliecinājumu par apmācību kursu apguvi", ņemot vērā, ka projekta 18. punktā ietverti </w:t>
            </w:r>
            <w:r w:rsidR="00000000" w:rsidRPr="00000000" w:rsidDel="00000000">
              <w:rPr>
                <w:u w:val="single"/>
                <w:rtl w:val="0"/>
              </w:rPr>
              <w:t xml:space="preserve">kritēriji</w:t>
            </w:r>
            <w:r w:rsidR="00000000" w:rsidRPr="00000000" w:rsidDel="00000000">
              <w:rPr>
                <w:rtl w:val="0"/>
              </w:rPr>
              <w:t xml:space="preserve">, kam biedrībai jāatbilst. Attiecīgi lūdzam precizēt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iekšējās kontroles sistēmas aprakstu, kas ietver aprakstu par pārbaudīšanas, novēršanas un labošanas nosacījumiem attiecībā uz korupcijas, krāpšanas, interešu konflikta un dubultā finansējuma vadības procesiem, kā arī nosacījumus apstākļu noteikšanai un identificēšanai, kas izraisa vai var izraisīt to iestāšanos, tai skaitā kā tiks pārbaudīs apmācību kursu nedublēšanās, kas minēts šo noteikumu  </w:t>
            </w:r>
            <w:r w:rsidR="00000000" w:rsidRPr="00000000" w:rsidDel="00000000">
              <w:rPr>
                <w:rtl w:val="0"/>
              </w:rPr>
              <w:t xml:space="preserve">45. </w:t>
            </w:r>
            <w:r w:rsidR="00000000" w:rsidRPr="00000000" w:rsidDel="00000000">
              <w:rPr>
                <w:rtl w:val="0"/>
              </w:rPr>
              <w:t xml:space="preserve">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normu sistēmiskumu attiecībā uz 22.6. apakšpunktā minēto iekšējās kontroles sistēmas esamību un atbilstoši precizēt projektu. Norādām, ka tāda prasība attiecībā uz 2. atlases kārtu nav minēta, kaut arī ir minēta attiecībā uz 1. atlases kārtu (14.8. apakšpunkts), kā arī ir minēta 22.6. apakšpunktā attiecībā uz abām kārtām.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Reģistrēt visus saņemtos projekta iesnieguma iesniedzējus un rakstiski informēt projekta iesnieguma iesniedzējus, nosūtot elektronisko apstiprinājumu par projekta iesnieguma saņemšanu.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23. punktā norādīt subjektu, uz ko attiecināms normā ietvertais pienākums.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Uz finansējuma saņēmēju un gala labuma guvēju nav attiecināms jebkurš no šādiem gadījumiem, kas noteikti Eiropas Parlamenta un Padomes Regulas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Nr.2018/1046) 136.pantā: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tā kā projekta 24. punktā tiek noteikti nacionālie izslēgšanas kritēriji, atsauce uz regulas Nr. 2018/1046 136.pantu ir svītrojama.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24.7. preču un vielu, kuru aprite ir aizliegta vai speciāli reglamentēta, pārvietošana pāri Latvijas Republikas valsts robežai;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šo pēc atkārtotās saskaņošanas pievienoto kritēriju un nepieciešamības gadījumā precizēt, piemēram, paredzot, ka minētajam pārkāpumam jābūt konstatētam ar spēkā stājušos tiesas spriedumu vai prokurora priekšrakstu par sodu (fiziskai personai), vai prokurora priekšrakstu par piespiedu ietekmēšanas līdzekļa piemērošanu (juridiskai personai). Vēršam uzmanību, ka attiecīgs noziedzīgs nodarījums paredzēts Krimināllikuma 190.</w:t>
            </w:r>
            <w:r w:rsidR="00000000" w:rsidRPr="00000000" w:rsidDel="00000000">
              <w:rPr>
                <w:vertAlign w:val="superscript"/>
                <w:rtl w:val="0"/>
              </w:rPr>
              <w:t xml:space="preserve">1</w:t>
            </w:r>
            <w:r w:rsidR="00000000" w:rsidRPr="00000000" w:rsidDel="00000000">
              <w:rPr>
                <w:rtl w:val="0"/>
              </w:rPr>
              <w:t xml:space="preserve"> pantā. Lūdzam izvērtēt arī citus 24. punkta apakšpunktus un nepieciešamības gadījumā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 neatļauta piedalīšanās mantiskos darījumos;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svītrot šo pēc atkārtotās saskaņošanas pievienoto kritēriju, proti, vērtēt, vai šāds uz komersantu attiecināms kritērijs ir iekļaujams noteikumu projektā. Vēršam uzmanību, ka Krimināllikuma 326.pantā "Neatļauta piedalīšanās mantiskos darījumos" paredzētā noziedzīgā nodarījuma sastāva subjekts ir </w:t>
            </w:r>
            <w:r w:rsidR="00000000" w:rsidRPr="00000000" w:rsidDel="00000000">
              <w:rPr>
                <w:u w:val="single"/>
                <w:rtl w:val="0"/>
              </w:rPr>
              <w:t xml:space="preserve">valsts amatpersona</w:t>
            </w:r>
            <w:r w:rsidR="00000000" w:rsidRPr="00000000" w:rsidDel="00000000">
              <w:rPr>
                <w:rtl w:val="0"/>
              </w:rPr>
              <w:t xml:space="preserve">. Nav skaidrs, kā šis kritērijs tiks attiecināts uz komersantu (vai komersanta valdes vai padomes locekli vai prokūristu, vai persona, kura ir pilnvarota pārstāvēt komersantu).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 gala labuma guvējs pirmās kārtas ietvaros izvēlas atvērto tiešsaistes kursu, kas nav iekļauts šo noteikumu </w:t>
            </w:r>
            <w:r w:rsidR="00000000" w:rsidRPr="00000000" w:rsidDel="00000000">
              <w:rPr>
                <w:rtl w:val="0"/>
              </w:rPr>
              <w:t xml:space="preserve">26. </w:t>
            </w:r>
            <w:r w:rsidR="00000000" w:rsidRPr="00000000" w:rsidDel="00000000">
              <w:rPr>
                <w:rtl w:val="0"/>
              </w:rPr>
              <w:t xml:space="preserve">punkt</w:t>
            </w:r>
            <w:r w:rsidR="00000000" w:rsidRPr="00000000" w:rsidDel="00000000">
              <w:rPr>
                <w:rtl w:val="0"/>
              </w:rPr>
              <w:t xml:space="preserve">ā minētajā sarakstā, finansējuma saņēmējs izvērtē atvērto tiešsaistes kursu atbilstību šo noteikumu </w:t>
            </w:r>
            <w:r w:rsidR="00000000" w:rsidRPr="00000000" w:rsidDel="00000000">
              <w:rPr>
                <w:rtl w:val="0"/>
              </w:rPr>
              <w:t xml:space="preserve">36. </w:t>
            </w:r>
            <w:r w:rsidR="00000000" w:rsidRPr="00000000" w:rsidDel="00000000">
              <w:rPr>
                <w:rtl w:val="0"/>
              </w:rPr>
              <w:t xml:space="preserve">punkt</w:t>
            </w:r>
            <w:r w:rsidR="00000000" w:rsidRPr="00000000" w:rsidDel="00000000">
              <w:rPr>
                <w:rtl w:val="0"/>
              </w:rPr>
              <w:t xml:space="preserve">ā minētajām prasībām un par rezultātu paziņo gala labuma guvējam. Nepieciešamības gadījumā finansējuma saņēmējs aktualizē atbalstāmo tiešsaistes kursu sarakstu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 punktā nav ietverts saraksts, bet gan apmācību jomas, attiecīgi aicinām precizēt atsauci projekta 32.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Pēc tiešsaistes apmācību kursu apgūšanas, EDIC nodrošina duālos kursus, lai gala labuma guvējs varētu apgūt apmācību praktisko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33. punkts, šķiet, pēc būtības vismaz daļēji dublē projekta 27. punktu, attiecīgi lūdzam precizēt projektu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Biedrības drīkst veikt iepirkumus investīcijas projekta īstenošanas laikā, ja tie nepieciešami, lai uzlabotu komersantu digitālo prasmju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vienveidīgu terminoloģiju projektā (piemēram, finansējuma saņēmēji, nevis biedrības, gala labuma guvēji, nevis komersanti u.tml.). Turklāt norādām, ka projekta 40. punkts, šķiet, dublē 54.5.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pasniedzēju var piesaistīt no ārvalstīm, sedz tulka izmaksas (tulka izmaksās ir arī komandējuma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sistēmiski frāze "sedz tulka izmaksas (tulka izmaksās ir arī komandējuma izmaksas)" ievietojama citviet projektā, jo neattiecas uz apmācību sniedzēja kvalifikācijas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 ārpakalpojuma izmaksas – projektu vadība, grāmatvedības pakalpojumi, juridiskie pakalpojumi, t.sk. darba vietas aprīkojuma izmaksas (pieļaujama tikai aprīkojuma noma vai nolietojums), transporta izmaksas (maksa par degvielu, transportlīdzekļa noma, transporta pakalpojuma pirkšana, sabiedriskā transporta izmantošana), telpu īres un nomas izmaksas, telpu apsaimniekošanas izmaksas (apkure, elektrība, apsaimniekošanas pakalpojumi, ūdensapgāde), kancelejas preču izmaksas, pasta izdevumi, interneta un telekomunikāciju izmaksas, komandējumu vai darba braucienu izmaksas, iekļaujot šīs izmaksas ārpakalpojuma projekta vadības līgumā, kā atsevišķu pozīciju.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44. punktā noteiktas darbības, kādām nepiešķir finansējumu, attiecīgi projekta 44.2. apakšpunkta formulējums neatbilst ievaddaļai, kā arī nav skaidrs, kādēļ šāds apakšpunkts vispār ietverts, ņemot vērā 46.2. apakšpunktu. Attiecīgi aicinām izvērtēt un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Finansējuma saņēmēja pienākumi abu investīcijas kārtu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paužam bažas attiecībā uz noteikumu projektā ietverto regulējumu, kas paredz deleģēt privātpersonām komercdarbības atbalsta piešķiršanu gala labuma guvējiem un šā komercdarbības atbalsta izlietojuma uzraudzību un kontroli (t.sk. pienākumu izvērtēt gala labuma guvēju (komersantu) atbilstību komercdarbības atbalsta normām, kā arī pieņemt lēmumu par komercdarbības atbalsta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paužam bažas, ka, pirmkārt, šāds regulējums varētu būt nesamērīgs slogs privātpersonai. Izziņā bez izvērstāka pamatojuma minēts, ka šāda regulējuma uzlikšana privātpersonai nav nesamērīgs slogs un ka tā tam brīvprātīgi piekrīt. Tomēr norādām uz dažiem aspektiem - piemēram, saskaņā ar projekta 54.1. apakšpunktu finansējuma saņēmējam būs pienākums pārbaudīt arī tādus izslēgšanas nosacījumus kā projekta 24.5.-24.8. apakšpunktā minētie (kuros turklāt nav norādes uz to, ka minētie apstākļi ir konstatēti ar spēkā stājušos tiesas spriedumu vai prokurora priekšrakstu par sodu (fiziskai personai), vai prokurora priekšrakstu par piespiedu ietekmēšanas līdzekļa piemērošanu (juridiskai personai)). Nav viennozīmīgi skaidrs, vai un kā privātpersona tādus varēs pārbaudīt un vai ir samērīgi uzlikt tai tādu pienākumu. Līdzīga apjoma un sarežģītības pārbaudes paredzētas, piemēram, bet ne tikai, projekta 70., 71. u.c. projektā. Turklāt projekta 85. punkts paredz, ka, ja tiek konstatēts, ka Komisijas regulas Nr. 1407/2013 prasību pārkāpuma dēļ gala labuma guvējs saņēmis nelikumīgu komercdarbības atbalstu, finansējuma saņēmējam ir pienākums atmaksāt CFLA visu projekta ietvaros saņemto </w:t>
            </w:r>
            <w:r w:rsidR="00000000" w:rsidRPr="00000000" w:rsidDel="00000000">
              <w:rPr>
                <w:i w:val="1"/>
                <w:rtl w:val="0"/>
              </w:rPr>
              <w:t xml:space="preserve">de minimis</w:t>
            </w:r>
            <w:r w:rsidR="00000000" w:rsidRPr="00000000" w:rsidDel="00000000">
              <w:rPr>
                <w:rtl w:val="0"/>
              </w:rPr>
              <w:t xml:space="preserve"> atbalstu. Attiecīgi lūdzam sniegt anotācijā skaidrojumu attiecībā uz minētajiem apsvērumiem, kā arī lūdzam sniegt skaidrojumu anotācijā, vai un kādas alternatīvas ir apsvērtas.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ja šāds regulējums par pārvaldes uzdevuma deleģēšanu privātpersonām projektā tiek atstāts, lūdzam arī ietvert anotācijā pamatojumu, tostarp jau izziņā sniegto, kādēļ šāds regulējums nav uzskatāms par neatļautu valsts pārvaldes uzdevuma deleģēšanu privātpersonai un nepārkāpj Valsts pārvaldes iekārtas likuma 40. panta otrajā un trešajā daļā paredzētos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paužam bažas, ka joprojām ne no projekta, ne tā anotācijas nav viennozīmīgi skaidrs, kas šo uzdevumu deleģē (sk. citstarp projekta 92. un 85. punktu) un līdz ar to – kura iestāde saskaņā ar Valsts pārvaldes iekārtas likuma 43.panta pirmo daļu ir tā iestāde, kuras padotībā atrodas pilnvarotā persona (finansējuma saņēmējs) attiecībā uz konkrētā uzdevuma izpildi. Tai skaitā nav viennozīmīgi skaidrs, kas slēdz attiecīgo deleģēšanas līgumu, kā arī attiecīgais deleģētais uzdevums un tā robežas. Ne izziņā, ne anotācijā nav sniegtas viennozīmīgas atbildes uz minētajiem jautājumiem. Attiecīgi lūdzam papildināt anotāciju ar skaidrojumiem vai arī atbilstoši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54.7. dokumentēt šo noteikumu </w:t>
            </w:r>
            <w:r w:rsidR="00000000" w:rsidRPr="00000000" w:rsidDel="00000000">
              <w:rPr>
                <w:rtl w:val="0"/>
              </w:rPr>
              <w:t xml:space="preserve">50.</w:t>
            </w:r>
            <w:r w:rsidR="00000000" w:rsidRPr="00000000" w:rsidDel="00000000">
              <w:rPr>
                <w:rtl w:val="0"/>
              </w:rPr>
              <w:t xml:space="preserve"> un </w:t>
            </w:r>
            <w:r w:rsidR="00000000" w:rsidRPr="00000000" w:rsidDel="00000000">
              <w:rPr>
                <w:rtl w:val="0"/>
              </w:rPr>
              <w:t xml:space="preserve">51. </w:t>
            </w:r>
            <w:r w:rsidR="00000000" w:rsidRPr="00000000" w:rsidDel="00000000">
              <w:rPr>
                <w:rtl w:val="0"/>
              </w:rPr>
              <w:t xml:space="preserve">punkt</w:t>
            </w:r>
            <w:r w:rsidR="00000000" w:rsidRPr="00000000" w:rsidDel="00000000">
              <w:rPr>
                <w:rtl w:val="0"/>
              </w:rPr>
              <w:t xml:space="preserve">ā minētās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54.7. apakšpunktā ietverta, šķiet, atsauce uz nekorektām projekta vienībām. Lūdzam izvērtēt un precizēt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 izstrādāt pieteikumu atlases kritērijus;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domāts ar pieteikumu atlases kritēriju izstrādi projekta 55.2. apakšpunktā kontekstā ar 61. punktā ietverto atsauci uz 2. pielikumā ietvertajiem vērtēšanas kritērijiem. Nepieciešamības gadījumā lūdzam precizēt. Papildus norādām, ka projektā lietota dažāda terminoloģija attiecībā uz iesniegumu (projekta iesniegums, projekta pieteikums, pieteikums u.tml.), kas traucē uztvert, vai attiecīgajās normās ir runa par vienu un to pašu vai par dažādiem iesniegumiem. Attiecīgi lūdzam lietot vienveidīgu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55.3. izveidot iekšējās kontroles sistēmu, iekļaujot nosacījumus par pārbaudīšanas, novēršanas un labošanas nosacījumiem attiecībā uz korupcijas, krāpšanas, interešu konflikta un dubultā finansējuma vadības procesiem, iekļaujot nosacījumus par apstākļu noteikšanu un identificēšanu, kas izraisa vai var izraisīt to iestāšanos, novērtēšanu un labošanu;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loģiski, ka projekta 14.8. apakšpunktā ir prasība pēc jau izveidotas iekšējās kontroles sistēmas (sk. arī 22.6. apakšpunktu), taču projekta 55.3. apakšpunktā ietverta prasība finansējuma saņēmējam pēc līguma noslēgšanas ar CFLA izveidot iekšējās kontroles sistēmu. Attiecīgi lūdzam nodrošināt saskanīgu regulējumu un precizēt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55.5. komersantam veikt Digitālā brieduma testu saskaņā ar Ministru kabineta 2022.gada 13.septembra noteikumiem Nr. 577 “Uzņēmējdarbības digitālās transformācijas pilna cikla atbalsta izveide ar reģionālo tvērumu" 2.2.1.1.i.  investīcijas "Atbalsts Digitālo inovāciju centru un reģionālo kontaktpunktu izveidei" īstenošanas noteikumi” (turmpāk - MK noteikumi Nr. 577), lai novērtētu esošo statusu un digitālo briedumu. Pēc testa izpildīšanas komersants no EDIC saņem digitālās attīstības ceļa karti, ar priekšnosacījumiem atbalsta saņemšanai. Pēc jebkuras digitālās transformācijas projekta īstenošanas komersants veicams otrreizējs digitālā brieduma tests, lai saņemtu atzinumu par digitālo transformācijas rezultātiem un izpildītajiem rādītājiem saskaņā ar ceļa kartē norādīto;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2.5. un 2.6. apakšpunktā ietverto sākotnējā un otrreizējā digitālā brieduma testa skaidrojumu (proti, "komersants veic pastāvīgi vai sadarbībā ar EDIC"), lūdzam izvērtēt projekta 55.5. apakšpunkta formulējumu, jo no tā pašreiz izriet, ka finansējuma saņēmējs (kas var būt ne tikai EDIC) veic komersantam Digitālā brieduma testu. Turklāt lūdzam konsekventi izmantot terminu "gala labuma guvējs".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55.6. pie maksājuma pieprasījuma iesniegšanas nodrošināt datu ievadi KPVIS par komercdarbības atbalstu saņēmušajiem gala labuma guvējiem;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atšifrēt saīsinājuma "KPVIS" pilno nosaukumu un atbilstoši noteikumu Nr. 108 43. un 44. punktam izveidot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55.8. izstrādāt un saskaņot ar CFLA komercdarbības atbalsta piešķiršanas gala labuma guvējam priekšpārbaudes metodoloģiju;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55.8. un 55.9. apakšpunktā ir runa par "priekšpārbaudes" metodoloģiju, savukārt projekta 59.3. apakšpunktā ir norāde vienkārši uz metodoloģiju. Attiecīgi lūdzam lietot konsekventu terminoloģiju vai skaidrot. Turklāt paužam bažas, ka nav pilnībā saprotams, kas domāts ar priekšpārbaudi projekta 55.8. un 55.9. apakšpunktā. Attiecīgi lūdzam izvērtēt un nepieciešamības gadījumā precizēt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55.12. sagatavot un uzglabāt visu iesniegumu projektu atlases pamatojošo dokumentāciju, t.sk. dokumentēt arī iesniegumu projektu atlases padomes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punktā paredzēts, ka CFLA izveido projektu iesniegumu vērtēšanas komisiju. Tālāk projektā lietoti dažādi termini par institūcijām, kas izskata projektu iesniegumus, līdz ar ko nav skaidrs, vai ir runa par vienu un to pašu institūciju vai dažādām institūcijām (piemēram, projekta 55.12. un 55.23. apakšpunktā minēta "iesniegumu projektu atlases padome"). Attiecīgi lūdzam izvērtēt un precizēt projektu, nodrošinot vienveidīgu terminoloģiju,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55.13. iesniegt nozares ministrijai pēc tās pieprasījuma šo noteikumu </w:t>
            </w:r>
            <w:r w:rsidR="00000000" w:rsidRPr="00000000" w:rsidDel="00000000">
              <w:rPr>
                <w:rtl w:val="0"/>
              </w:rPr>
              <w:t xml:space="preserve">62.8. </w:t>
            </w:r>
            <w:r w:rsidR="00000000" w:rsidRPr="00000000" w:rsidDel="00000000">
              <w:rPr>
                <w:rtl w:val="0"/>
              </w:rPr>
              <w:t xml:space="preserve">apakšpunkt</w:t>
            </w:r>
            <w:r w:rsidR="00000000" w:rsidRPr="00000000" w:rsidDel="00000000">
              <w:rPr>
                <w:rtl w:val="0"/>
              </w:rPr>
              <w:t xml:space="preserve">ā minēto ziņojumu, iekļaujot tajā informāciju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atsauce uz "šo noteikumu 62.8. apakšpunktā minēto ziņojumu" projekta 55.13. apakšpunktā ir korekta. Norādām, ka, šķiet, nepieciešama atsauce uz 62.7.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55.20. rakstiski informēt gala labuma guvējus ne vēlāk kā 15 darba dienu laikā no projektu iesniegumu vērtēšanas komisijas sēdes dienas par apstiprināto vai noraidīto iesniegumu projektu, sniedzot skaidrojumu par noraidīšanas iemesliem un apstrīdēšanas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administratīvā akta paziņošanu, kā arī tā sastāvdaļas jau regulē Administratīvā procesa likums. Attiecīgi lūdzam svītrot projekta 55.20.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55.22. pievienot Vadības informācijas sistēmā līguma kopijas vai līguma izrakstus par projektu apstiprināšanu, kas noslēgts starp finansējuma saņēmēju un komersantu;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nav pilnībā skaidrs, kas par dokumentu projekta 55.22. apakšpunktā ir domāts (līgums par projekta īstenošanu, lēmums par projekta apstiprināšanu vai vēl kāds cits dokuments). Attiecīgi lūdzam izvērtēt un nepieciešamības gadījumā precizēt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CFLA ir šādi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59. punkts un citas projekta vienības (vai vismaz kādas to apakšvienības) sistēmiski neiederas 4. nodaļā, kas ir par projekta īstenošanas un finansējuma saņemšanas nosacījumiem. Turklāt lūdzam pārdomāt nodaļu izvietojumu, nosaukumus un saturu, lai regulējums būtu secīgs, sistēmisks un vieglāk uztverams.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59.1. izveido iesniegumu vērtēšanas komisiju, kurā piedalās CFLA pārstāvis, vismaz viens pārstāvis no nozares ministrijas un viens pārstāvis no IZM ar vienu balsi no katras iestādes;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59.1. apakšpunkts vismaz daļēji dublē projekta 19. punktu, attiecīgi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59.4. pirms līguma slēgšanas ar finansējuma saņēmēju saskaņot līguma redakciju ar atbildīgo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nav skaidrs, kas projekta 59.4. apakšpunktā domāts ar "atbildīgo iestādi", ar kuru saskaņojama līguma redakcija. Attiecīgi lūdzam precizēt, norādot konkrētu iestādi,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59.7. izlases veidā veikt pārbaudes projekta īstenošanas vietā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59.7. apakšpunkts daļēji dublē Ministru kabineta 2021. gada 7. septembra noteikumu Nr. 621 “Eiropas Savienības Atveseļošanas un noturības mehānisma plāna īstenošanas un uzraudzības kārtība” 9.1. un 9.2. apakšpunktu. Attiecīgi lūdzam precizēt. Lūdzam arī izvērtēt citas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59.11. slēgt līgumu ar finansējuma saņēmēju un veikt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59.11. apakšpunkts vismaz daļēji dublē projekta 59.5. apakšpunktu, attiecīgi lūdzam to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59.12. nodrošināt komercdarbības atbalsta piešķiršanu finansējuma saņēmējam;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59.12. un 59.13. apakšpunkts saturiski, šķiet, dublē viens otru, attiecīgi lūdzam precizēt projektu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59.14. pārbaudīt vai Atveseļošanas fonda plāna investīciju un reformu īstenošanā nav konstatējamas pazīmes, kas liecina par pieļautu interešu konflikta, korupcijas, krāpšanas vai dubultā finansējuma situāciju;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59.14. apakšpunkta formulējumu un ietverto vispārīgo norādi uz "Atveseļošanas fonda plāna investīcijām un reformām", lūdzam normu precizēt, jo noteikumu projekts ir par konkrētu investīciju.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 projekta atbilstība noteikumu projekta izteiktajiem mērķiem;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skaidrs, par kādiem mērķiem projekta 61.4. apakšpunktā ir runa, attiecīgi lūdzam precizēt normu. Turklāt, ja ir runa par šo noteikumu mērķiem, tad lūdzam svītrot vārdu "projekta" un izdarīt korektu atsauci atbilstoši noteikumu Nr. 108 132.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62.8. abu kārtu ietvaros saskaņā ar Ministru kabineta 2021. gada 7. septembra noteikumu Nr. 621 “Eiropas Savienības Atveseļošanas un noturības mehānisma plāna īstenošanas un uzraudzības kārtība” 8.5. apakšpunktu sniegt informāciju Vadības informācijas sistēmā par investīcijas īstenošanas progresu Atveseļošanas fonda plāna īstenošanas progresa pusgada ziņojuma un maksājuma pieprasījuma sagatavošanai;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62.8. apakšpunkts faktiski dublē Ministru kabineta 2021. gada 7. septembra noteikumu Nr. 621 “Eiropas Savienības Atveseļošanas un noturības mehānisma plāna īstenošanas un uzraudzības kārtība” 8.5. apakšpunktu. Attiecīgi lūdzam to svītrot. Lūdzam izvērtēt arī citas normas un nepieciešamības gadījumā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68.1. finansējuma saņēmējs izvērtē gala labuma guvēja atbilstību Komisijas regulai Nr. 1407/2013 5.panta vai Komisijas regulai Nr. 651/2014 31.panta. Datums, kad finansējuma saņēmējs pieņem lēmumu par atbalsta piešķiršanu, uzskatāms par atbalsta piešķiršanas datumu;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vai nu skaidrot, kādēļ projekta 68.1. apakšpunktā ietverta atsauce tieši uz Komisijas regulas 1407/2013 5. pantu, kas ir par atbalsta kumulēšanu, vai nu precizēt atsauci.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68.2. lēmums par komercdarbības atbalsta piešķiršanu gala labuma guvējam primāri tiks sniegts atbilstoši Komisijas regulai Nr. 651/2014, pēc tam Komisijas regulai Nr. 1407/2013;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normu, ņemot vērā, ka tiek sniegts nevis lēmums par komercdarbības atbalsta piešķiršanu, bet gan komercdarbības atbalsts. Turklāt norma faktiski dublē projekta 69. punktu, attiecīgi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68.5. ja komersants, pamatojoties uz MK noteikumu Nr.577 37. punktu, veicot otrreizējo digitālā brieduma testu, neuzrāda uzlabojumu, EDIC ir pienākums pārbaudīt testus un sniegt atzinumu gala labuma guvējam par projekta izpildes atbilstību digitālās attīstības ceļa kartei. Gala labuma guvējam ir tiesības veikt atkārtotu digitālā brieduma testu;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68.5. apakšpunkts dublē Ministru kabineta 2022.gada 13.septembra noteikumu Nr. 577 “Uzņēmējdarbības digitālās transformācijas pilna cikla atbalsta izveide ar reģionālo tvērumu" 2.2.1.1.i.  investīcijas "Atbalsts Digitālo inovāciju centru un reģionālo kontaktpunktu izveidei" īstenošanas noteikumi” 37. punktu, attiecīgi lūdzam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70.5. darbībām saskaņā ar NACE 2. redakcijas R sadaļu “Azartspēles un derības”;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Vairāki 70. punkta apakšpunkti neveido loģiskus teikumus kopsakarā ar 70. punkta ievaddaļu, attiecīgi nav arī iespējams saprast, kādi tad ir atbalsta piešķiršanas nosacījumi attiecībā uz nozarēm un darbībām. Attiecīgi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Atbalsts šo noteikumu </w:t>
            </w:r>
            <w:r w:rsidR="00000000" w:rsidRPr="00000000" w:rsidDel="00000000">
              <w:rPr>
                <w:rtl w:val="0"/>
              </w:rPr>
              <w:t xml:space="preserve">44.2. </w:t>
            </w:r>
            <w:r w:rsidR="00000000" w:rsidRPr="00000000" w:rsidDel="00000000">
              <w:rPr>
                <w:rtl w:val="0"/>
              </w:rPr>
              <w:t xml:space="preserve">apakšpunkt</w:t>
            </w:r>
            <w:r w:rsidR="00000000" w:rsidRPr="00000000" w:rsidDel="00000000">
              <w:rPr>
                <w:rtl w:val="0"/>
              </w:rPr>
              <w:t xml:space="preserve">ā minēto izmaksu segšanai nav uzskatāms par komercdarbības atbalstu, ja finansējuma saņēmējs nodrošina projekta vadību, piemērojot šo noteikumu </w:t>
            </w:r>
            <w:r w:rsidR="00000000" w:rsidRPr="00000000" w:rsidDel="00000000">
              <w:rPr>
                <w:rtl w:val="0"/>
              </w:rPr>
              <w:t xml:space="preserve">54.2. </w:t>
            </w:r>
            <w:r w:rsidR="00000000" w:rsidRPr="00000000" w:rsidDel="00000000">
              <w:rPr>
                <w:rtl w:val="0"/>
              </w:rPr>
              <w:t xml:space="preserve">apakšpunkt</w:t>
            </w:r>
            <w:r w:rsidR="00000000" w:rsidRPr="00000000" w:rsidDel="00000000">
              <w:rPr>
                <w:rtl w:val="0"/>
              </w:rPr>
              <w:t xml:space="preserve">ā minēto procedūru. Ja finansējuma saņēmējs nodrošina projekta vadību atbilstoši šo noteikumu </w:t>
            </w:r>
            <w:r w:rsidR="00000000" w:rsidRPr="00000000" w:rsidDel="00000000">
              <w:rPr>
                <w:rtl w:val="0"/>
              </w:rPr>
              <w:t xml:space="preserve">34. </w:t>
            </w:r>
            <w:r w:rsidR="00000000" w:rsidRPr="00000000" w:rsidDel="00000000">
              <w:rPr>
                <w:rtl w:val="0"/>
              </w:rPr>
              <w:t xml:space="preserve">punkt</w:t>
            </w:r>
            <w:r w:rsidR="00000000" w:rsidRPr="00000000" w:rsidDel="00000000">
              <w:rPr>
                <w:rtl w:val="0"/>
              </w:rPr>
              <w:t xml:space="preserve">am</w:t>
            </w:r>
            <w:r w:rsidR="00000000" w:rsidRPr="00000000" w:rsidDel="00000000">
              <w:rPr>
                <w:rtl w:val="0"/>
              </w:rPr>
              <w:t xml:space="preserve"> , tad šo noteikumu </w:t>
            </w:r>
            <w:r w:rsidR="00000000" w:rsidRPr="00000000" w:rsidDel="00000000">
              <w:rPr>
                <w:rtl w:val="0"/>
              </w:rPr>
              <w:t xml:space="preserve">46.1. </w:t>
            </w:r>
            <w:r w:rsidR="00000000" w:rsidRPr="00000000" w:rsidDel="00000000">
              <w:rPr>
                <w:rtl w:val="0"/>
              </w:rPr>
              <w:t xml:space="preserve">apakšpunkt</w:t>
            </w:r>
            <w:r w:rsidR="00000000" w:rsidRPr="00000000" w:rsidDel="00000000">
              <w:rPr>
                <w:rtl w:val="0"/>
              </w:rPr>
              <w:t xml:space="preserve">ā</w:t>
            </w:r>
            <w:r w:rsidR="00000000" w:rsidRPr="00000000" w:rsidDel="00000000">
              <w:rPr>
                <w:rtl w:val="0"/>
              </w:rPr>
              <w:t xml:space="preserve"> minēto izmaksu segšana ir uzskatāma par komercdarbības atbalstu finansējuma saņēmējam, ko sniedz atbilstoši šo noteikumu </w:t>
            </w:r>
            <w:r w:rsidR="00000000" w:rsidRPr="00000000" w:rsidDel="00000000">
              <w:rPr>
                <w:rtl w:val="0"/>
              </w:rPr>
              <w:t xml:space="preserve">66. </w:t>
            </w:r>
            <w:r w:rsidR="00000000" w:rsidRPr="00000000" w:rsidDel="00000000">
              <w:rPr>
                <w:rtl w:val="0"/>
              </w:rPr>
              <w:t xml:space="preserve">punkt</w:t>
            </w:r>
            <w:r w:rsidR="00000000" w:rsidRPr="00000000" w:rsidDel="00000000">
              <w:rPr>
                <w:rtl w:val="0"/>
              </w:rPr>
              <w:t xml:space="preserve">am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34. punktā ir minētas izmaksas, nevis projekta vadības veids. Attiecīgi lūdzam precizēt atsauci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78.4. finansējuma saņēmējam viena vienota uzņēmumu līmenī visu kārtu ietvaros vadības izmaksu segšanai 100 % apmērā, nepārsniedzot šo noteikumu </w:t>
            </w:r>
            <w:r w:rsidR="00000000" w:rsidRPr="00000000" w:rsidDel="00000000">
              <w:rPr>
                <w:rtl w:val="0"/>
              </w:rPr>
              <w:t xml:space="preserve">46.</w:t>
            </w:r>
            <w:r w:rsidR="00000000" w:rsidRPr="00000000" w:rsidDel="00000000">
              <w:rPr>
                <w:rtl w:val="0"/>
              </w:rPr>
              <w:t xml:space="preserve"> ​un </w:t>
            </w:r>
            <w:r w:rsidR="00000000" w:rsidRPr="00000000" w:rsidDel="00000000">
              <w:rPr>
                <w:rtl w:val="0"/>
              </w:rPr>
              <w:t xml:space="preserve">78. </w:t>
            </w:r>
            <w:r w:rsidR="00000000" w:rsidRPr="00000000" w:rsidDel="00000000">
              <w:rPr>
                <w:rtl w:val="0"/>
              </w:rPr>
              <w:t xml:space="preserve">punkt</w:t>
            </w:r>
            <w:r w:rsidR="00000000" w:rsidRPr="00000000" w:rsidDel="00000000">
              <w:rPr>
                <w:rtl w:val="0"/>
              </w:rPr>
              <w:t xml:space="preserve">ā minēto ierobežojumu;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78.4. apakšpunktā ietverta, šķiet, nekorekta atsauce uz 78. punktu, savukārt projekta 78.5. apakšpunktā ietverta nekorekta atsauce uz 92. punktu. Attiecīgi lūdzam precizēt. Lūdzam pārliecināties arī par citu atsauču korektumu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Gala labuma guvējs par finansējuma saņēmēju pieņemto lēmumu par neatbilstību komercdarbības atbalsta nosacījumiem var apstrīdēt Ekonomikas ministrijā. Ekonomikas ministrijas pieņemto lēmumu gala labuma guvējs var pārsūdzēt Administratīvajā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92. punktu, ņemot vērā, ka nav viennozīmīgi skaidrs, par kādu lēmumu ir runa. Lūdzam svītrot vārdu "par" un vārdu "saņēmēju" izteikt pareizā locījumā (proti, saņēmēja). Atkārtoti arī norādām, ka citviet projektā minēts finansējuma saņēmēja lēmums par komercdarbības atbalsta piešķiršanu. Līdz ar to nav skaidrs, kas ir noteikumu projekta 80.punktā minētais lēmums - proti, vai tas ir lēmums par komercdarbības atbalsta piešķiršanu vai kāds cits, noteikumu projektā neminēts lēmums. Izziņā nav sniegts skaidrojums, kā arī projekta punkts nav precizēts. Attiecīgi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teikums projekta 2. pielikumā "Vienādu punktu skaita rezultāta apstiprināts tiek projekts, kas ieguvis plāno lielāko gala labuma guvēju apmācīšanu." nav saprotams. Attiecīgi nav arī saprotams, kam ir priekšroka vienādu punktu skaita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pēc projekta precizēšanas pēc būtības nepieciešams precizēt arī anotācijas 5. sadaļā ietvertās tabulas, jo tajās dažviet ietverta nekorekta informācija. Piemēram, bet ne tikai, projektā nav 24.11. apakšpunkts, savukārt Regulas Nr. 2021/241 34. pants, šķiet, nav ieviests projekta 40. punktā. Turklāt vēršam uzmanību, ka tabulā vairākās vietās ietverta norāde "Noteikumu projekta 80. punkts" --&gt; "Noteikumu projekta 85. punkts" u.tml. Attiecīgi lūdzam precizēt, norādot regulu vienības, kas ir ieviestas attiecīgajās projekta vienībās.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Ekonomikas ministrija, pēc šo noteikumu </w:t>
            </w:r>
            <w:r w:rsidR="00000000" w:rsidRPr="00000000" w:rsidDel="00000000">
              <w:rPr>
                <w:rtl w:val="0"/>
              </w:rPr>
              <w:t xml:space="preserve">14. </w:t>
            </w:r>
            <w:r w:rsidR="00000000" w:rsidRPr="00000000" w:rsidDel="00000000">
              <w:rPr>
                <w:rtl w:val="0"/>
              </w:rPr>
              <w:t xml:space="preserve">punktu</w:t>
            </w:r>
            <w:r w:rsidR="00000000" w:rsidRPr="00000000" w:rsidDel="00000000">
              <w:rPr>
                <w:rtl w:val="0"/>
              </w:rPr>
              <w:t xml:space="preserve"> veiktās izvērtēšanas, apstiprina iesniegtos projekta iesniegumus, ja projekta iesniedzējs atbilst visiem vērtēšanas kritērijiem. Ja projekta iesniedzējs nav izpildījis visus vērtēšanas kritērijus, Ekonomikas ministrija lūdz veikt atbilstošus precizējumus, paredzot termiņu attiecīgu precizējumu veikšanai. Pēc lēmuma pieņemšanas par atbilstību vērtēšanas kritērijiem, Ekonomikas ministrija informē Centrālo finanšu un līgumu aģentūru (turpmāk - CFLA), ka tā var uzsākt līguma slēgšanas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konsekventi izmantot izveidoto saīsinājumu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Investīcijas ietvaros noslēgto pakalpojumu līgumu, tai skaitā šo noteikumu </w:t>
            </w:r>
            <w:r w:rsidR="00000000" w:rsidRPr="00000000" w:rsidDel="00000000">
              <w:rPr>
                <w:rtl w:val="0"/>
              </w:rPr>
              <w:t xml:space="preserve">34.3.</w:t>
            </w:r>
            <w:r w:rsidR="00000000" w:rsidRPr="00000000" w:rsidDel="00000000">
              <w:rPr>
                <w:rtl w:val="0"/>
              </w:rPr>
              <w:t xml:space="preserve">, </w:t>
            </w:r>
            <w:r w:rsidR="00000000" w:rsidRPr="00000000" w:rsidDel="00000000">
              <w:rPr>
                <w:rtl w:val="0"/>
              </w:rPr>
              <w:t xml:space="preserve">34.5.</w:t>
            </w:r>
            <w:r w:rsidR="00000000" w:rsidRPr="00000000" w:rsidDel="00000000">
              <w:rPr>
                <w:rtl w:val="0"/>
              </w:rPr>
              <w:t xml:space="preserve">, </w:t>
            </w:r>
            <w:r w:rsidR="00000000" w:rsidRPr="00000000" w:rsidDel="00000000">
              <w:rPr>
                <w:rtl w:val="0"/>
              </w:rPr>
              <w:t xml:space="preserve">42.2.</w:t>
            </w:r>
            <w:r w:rsidR="00000000" w:rsidRPr="00000000" w:rsidDel="00000000">
              <w:rPr>
                <w:rtl w:val="0"/>
              </w:rPr>
              <w:t xml:space="preserve"> un </w:t>
            </w:r>
            <w:r w:rsidR="00000000" w:rsidRPr="00000000" w:rsidDel="00000000">
              <w:rPr>
                <w:rtl w:val="0"/>
              </w:rPr>
              <w:t xml:space="preserve">42.2.3.</w:t>
            </w:r>
            <w:r w:rsidR="00000000" w:rsidRPr="00000000" w:rsidDel="00000000">
              <w:rPr>
                <w:rtl w:val="0"/>
              </w:rPr>
              <w:t xml:space="preserve"> apakšpunktā minēto darbību izpildei, līgumu darbības termiņš ir ne ilgāk kā līdz 2026.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atsauce uz 42.2. apakšpunktu jau ietver sevī atsauci tostarp uz 42.2.3. apakšpunktu, aicinām precizēt 51.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Projektu iesniegumu vērtēšanas komisija projektu iesniegumu atlases termiņā saņemtos projektu iesniegumus vērtē atbilstoši šo noteikumu </w:t>
            </w:r>
            <w:r w:rsidR="00000000" w:rsidRPr="00000000" w:rsidDel="00000000">
              <w:rPr>
                <w:rtl w:val="0"/>
              </w:rPr>
              <w:t xml:space="preserve">​</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iekļautajiem projektu iesniegumu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Vairākus projekta 61. punkta apakšpunktus lasot kopsakarā ar 61. punkta ievaddaļu, veidojas neloģiski teikumi. Attiecīgi lūdzam precizēt. Minētais attiecas arī uz citām projekta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62.12. izstrādāt finansējuma saņēmēja projektu vērtēšanas kritēriju piemērošanas metodiku un publicēt to savā tīmekļvietnē. Izstrādā ne vēlāk kā 20 darba dienu laikā pēc šo noteikumu apstiprināšanas;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vārda "apstiprināšanas" vietā lietot vārdu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22-TA-593</w:t>
    </w:r>
    <w:r>
      <w:br/>
    </w:r>
    <w:r w:rsidR="00000000" w:rsidRPr="00000000" w:rsidDel="00000000">
      <w:rPr>
        <w:rtl w:val="0"/>
      </w:rPr>
      <w:t xml:space="preserve">Izdrukāts 27.04.2023. 21.57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22-TA-593</w:t>
    </w:r>
    <w:r>
      <w:br/>
    </w:r>
    <w:r w:rsidR="00000000" w:rsidRPr="00000000" w:rsidDel="00000000">
      <w:rPr>
        <w:rtl w:val="0"/>
      </w:rPr>
      <w:t xml:space="preserve">Izdrukāts 27.04.2023. 21.57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Atzinumi_22-TA-593.docx</dc:title>
</cp:coreProperties>
</file>

<file path=docProps/custom.xml><?xml version="1.0" encoding="utf-8"?>
<Properties xmlns="http://schemas.openxmlformats.org/officeDocument/2006/custom-properties" xmlns:vt="http://schemas.openxmlformats.org/officeDocument/2006/docPropsVTypes"/>
</file>