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nodaļā "Risinājuma apraksts" 2.2. un 5.punktus atbilstoši noteikumu projekta 11.punktā ietvertajam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1.3.sadaļā sniegto skaidrojumu par to, </w:t>
            </w:r>
            <w:r w:rsidR="00000000" w:rsidRPr="00000000" w:rsidDel="00000000">
              <w:rPr>
                <w:i w:val="1"/>
                <w:rtl w:val="0"/>
              </w:rPr>
              <w:t xml:space="preserve">ka 2.2.1.4.i investīcijas ietvaros nav nepieciešams cita finansētāja atteikuma saņemšana, lai saņemtu sabiedrības “Altum” aizdevumu</w:t>
            </w:r>
            <w:r w:rsidR="00000000" w:rsidRPr="00000000" w:rsidDel="00000000">
              <w:rPr>
                <w:rtl w:val="0"/>
              </w:rPr>
              <w:t xml:space="preserve">, norādot no kā izriet, ka šobrīd 2.2.1.4.i investīcijas ietvaros šāda atteikuma saņemšana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svītrot anotācijas 1.3.sadaļā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grozījumu projekta 1. un 2.punkta, ar kuriem groza MK noteikumu nosaukumu un izdošanas pamatojumu, nepieciešamību, ņemot vērā, ka nav veiktas izmaiņas ne noteikumu projekta nosaukumā, ne tiesību akta izdošanas pamatojumā.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veicināt komersantu digitālo transformāciju, komersantu attīstību un apgrozījuma apjoma pieaugumu, atbalstot uz produktivitātes pieaugumu vērstus ieguldījumus uzņēmējdarbības digitālās transformācijas rīkos un automatizācijā, kā arī jaunus produktu un digitālo tehnoloģiju un risinājumu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vārda “produktu” papildināt ar vārdiem “informācijas un komunikācijas tehnoloģiju”, nodrošinot precīzāku atbilstību 2.2.1.4.i investīcijas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 pievienotās vērtības nodokļa (turpmāk – PVN) segšana. PVN izmaksas neiekļauj arī investīciju projekta kopējās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grozījumu projekta 15.punktu, ņemot vērā, ka noteikumu 42.punkta ievaddaļā jau ir noteikts, ka 42.punktā noteiktās izmaksas neiekļauj projekta attiecināmajās izmaksās. Attiecīgi no minētā izriet, ka arī PVN izmaksas nav iekļaujamas projekta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svītrot arī attiecīgo skaidrojumu anotācijas 1.3.sadaļā. Tāpat vēršam uzmanību, ka AF projektos netiek uzrādītas neattiecināmās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tiek pārkāptas šajos noteikumos noteiktās komercdarbības atbalsta kontroles normas, tai skaitā nosacījumi, kas izriet no Komisijas regulas Nr. </w:t>
            </w:r>
            <w:r w:rsidR="00000000" w:rsidRPr="00000000" w:rsidDel="00000000">
              <w:rPr>
                <w:rtl w:val="0"/>
              </w:rPr>
              <w:t xml:space="preserve">651/2014</w:t>
            </w:r>
            <w:r w:rsidR="00000000" w:rsidRPr="00000000" w:rsidDel="00000000">
              <w:rPr>
                <w:rtl w:val="0"/>
              </w:rPr>
              <w:t xml:space="preserve">, komersantam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aicinām noteikumu projekta 44.punktu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44.Ja tiek pārkāpti regulas Nr.651/2014 nosacījumi, komersantam ir pienākums atmaksāt sabiedrībai "Altum" projekta ietvaros saņemto nelikumīgo komercdarbības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ja tiek pārkāptas Komisijas regulas Nr. </w:t>
            </w:r>
            <w:r w:rsidR="00000000" w:rsidRPr="00000000" w:rsidDel="00000000">
              <w:rPr>
                <w:rtl w:val="0"/>
              </w:rPr>
              <w:t xml:space="preserve">1407/2013</w:t>
            </w:r>
            <w:r w:rsidR="00000000" w:rsidRPr="00000000" w:rsidDel="00000000">
              <w:rPr>
                <w:rtl w:val="0"/>
              </w:rPr>
              <w:t xml:space="preserve"> prasības, komersantam ir pienākums atmaksāt sabiedrībai "Altum"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aicinām noteikumu projekta 47.4.apakšpunktu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"47.4. ja tiek pārkāpti regulas Nr. 1407/2013 nosacījumi, komersantam ir pienākums atmaksāt sabiedrībai "Altum" visu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investīciju projekta kopējā apjoma, bet ne vairāk kā 1 000 000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53.punktu atbilstoši AF plāna 689.§. noteiktajam, aizstājot vārdus “no investīciju projekta kopējā apjoma” ar vārdiem “no aizdevuma pamatsummas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aizdevuma pamatsummas apmēra, bet ne vairāk kā 1 000 000 euro, nepārsniedzot šo noteikumu ietvaros noteikto pieļaujamo atbalsta intensitāti vai komersantam pieejamo de minimis limita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21.09.2023.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21.09.2023.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