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likumprojekta 15. panta septītajā daļā paredzēto grozījumu, ņemot vērā, ka tas papildina panta trešo daļu ar vairākiem teikumiem, nevis vienu.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grozāmā likuma 24.</w:t>
            </w:r>
            <w:r w:rsidR="00000000" w:rsidRPr="00000000" w:rsidDel="00000000">
              <w:rPr>
                <w:vertAlign w:val="superscript"/>
                <w:rtl w:val="0"/>
              </w:rPr>
              <w:t xml:space="preserve">1</w:t>
            </w:r>
            <w:r w:rsidR="00000000" w:rsidRPr="00000000" w:rsidDel="00000000">
              <w:rPr>
                <w:rtl w:val="0"/>
              </w:rPr>
              <w:t xml:space="preserve"> panta otrajā daļā vārds "tirgū" ir pieminēts trīs reizes, tādēļ nav saprotams, pēc kura no tiem likumprojekta 17. pantā paredzētos vārdus paredzēts iekļaut. Ievērojot minēto, ierosinām izteikt grozāmā likuma 24.</w:t>
            </w:r>
            <w:r w:rsidR="00000000" w:rsidRPr="00000000" w:rsidDel="00000000">
              <w:rPr>
                <w:vertAlign w:val="superscript"/>
                <w:rtl w:val="0"/>
              </w:rPr>
              <w:t xml:space="preserve">1</w:t>
            </w:r>
            <w:r w:rsidR="00000000" w:rsidRPr="00000000" w:rsidDel="00000000">
              <w:rPr>
                <w:rtl w:val="0"/>
              </w:rPr>
              <w:t xml:space="preserve"> panta otro daļu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likumprojekta 19. pantu, ņemot vērā, ka grozāmā likuma 25. pantā nav 3.</w:t>
            </w:r>
            <w:r w:rsidR="00000000" w:rsidRPr="00000000" w:rsidDel="00000000">
              <w:rPr>
                <w:vertAlign w:val="superscript"/>
                <w:rtl w:val="0"/>
              </w:rPr>
              <w:t xml:space="preserve">1</w:t>
            </w:r>
            <w:r w:rsidR="00000000" w:rsidRPr="00000000" w:rsidDel="00000000">
              <w:rPr>
                <w:rtl w:val="0"/>
              </w:rPr>
              <w:t xml:space="preserve"> daļas.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37.</w:t>
            </w:r>
            <w:r w:rsidR="00000000" w:rsidRPr="00000000" w:rsidDel="00000000">
              <w:rPr>
                <w:vertAlign w:val="superscript"/>
                <w:rtl w:val="0"/>
              </w:rPr>
              <w:t xml:space="preserve">9 </w:t>
            </w:r>
            <w:r w:rsidR="00000000" w:rsidRPr="00000000" w:rsidDel="00000000">
              <w:rPr>
                <w:rtl w:val="0"/>
              </w:rPr>
              <w:t xml:space="preserve">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Sabiedriskas nozīmes struktūras pienākums ir rakstiski informēt Latvijas Banku par revīzijas komitejas vai tai līdzvērtīgas struktūras izveidošanu, tās sastāvu un jebkurām izmaiņām revīzijas komitejas sastāvā. Ja sabiedriskas nozīmes struktūra piemēro likumā paredzēto izņēmumu un revīzijas komiteju neveido, tā informē Latvijas Banku par attiecīgo pamatojumu. Latvijas Banka ir tiesīga izdot  noteikum</w:t>
            </w:r>
            <w:r w:rsidR="00000000" w:rsidRPr="00000000" w:rsidDel="00000000">
              <w:rPr>
                <w:b w:val="1"/>
                <w:rtl w:val="0"/>
              </w:rPr>
              <w:t xml:space="preserve">u</w:t>
            </w:r>
            <w:r w:rsidR="00000000" w:rsidRPr="00000000" w:rsidDel="00000000">
              <w:rPr>
                <w:rtl w:val="0"/>
              </w:rPr>
              <w:t xml:space="preserve">s, nosakot iesniedzamās informācijas apjomu un termiņu, kādā sabiedriskas nozīmes struktūra sniedz ziņas par revīzijas komitejas vai tai līdzvērtīgas struktūras izveidošanu, tās sastāvu un izmaiņām revīzijas komitejas sastāvā vai arī pamatojumu tās neveidošanai.".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2.1 daļas trešajā teikumā vārdu "normatīvos", jo atbilstoši Latvijas Bankas likuma 8. panta pirmajai daļai Latvijas Banka izdod ārējos normatīvos aktus -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35. un 38. pantā ietvertais regulējums pēc būtības dublējas, ierosinām apvienot šos pantus vienā, iekļaujot to likuma IX nodaļā.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likumprojekta anotācijā ietverto pamatojumu likuma 1. panta piektās daļas izslēgšanai no likuma, ņemot vērā, ka finanšu institūcijas definīcijā ietvertās ieguldījumu brokeru sabiedrības ir lielas sabiedrības (1.klases IBS un 1.- klases IBS), kuru darbībai tiek piemērots kredītiestāžu regulējums, savukārt pārējām ieguldījumu brokeru sabiedrībām, kuras uzskatāmas par nelielām un savstarpēji nesaistītām (2.klases IBS un 3.klases IBS), attiecināms ieguldījumu brokeru sabiedrību regulējums un tās netiek ietvertas šā likumprojekta finanšu institūcijas definīcijā.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Kuprijanova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14.12.2023.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14.12.2023.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