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981EE7" w:rsidP="002853E5" w14:paraId="1B2C4334" w14:textId="77777777">
      <w:pPr>
        <w:jc w:val="center"/>
        <w:rPr>
          <w:rFonts w:ascii="Times New Roman" w:hAnsi="Times New Roman" w:cs="Times New Roman"/>
          <w:sz w:val="24"/>
          <w:szCs w:val="24"/>
        </w:rPr>
      </w:pP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1729"/>
        <w:gridCol w:w="1673"/>
        <w:gridCol w:w="3005"/>
      </w:tblGrid>
      <w:tr w14:paraId="1B2C4339" w14:textId="77777777" w:rsidTr="007A0EDB">
        <w:tblPrEx>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gridAfter w:val="1"/>
          <w:wAfter w:w="3005" w:type="dxa"/>
        </w:trPr>
        <w:tc>
          <w:tcPr>
            <w:tcW w:w="2235" w:type="dxa"/>
          </w:tcPr>
          <w:p w:rsidR="00B12680" w:rsidRPr="00CD00D9" w:rsidP="00D413BB" w14:paraId="1B2C4337" w14:textId="7E14FAB3">
            <w:pPr>
              <w:rPr>
                <w:rFonts w:ascii="Times New Roman" w:hAnsi="Times New Roman" w:cs="Times New Roman"/>
                <w:sz w:val="24"/>
                <w:szCs w:val="24"/>
              </w:rPr>
            </w:pPr>
            <w:r>
              <w:rPr>
                <w:rFonts w:ascii="Times New Roman" w:hAnsi="Times New Roman" w:cs="Times New Roman"/>
                <w:sz w:val="24"/>
                <w:szCs w:val="24"/>
              </w:rPr>
              <w:t>24.04.2023.</w:t>
            </w:r>
          </w:p>
        </w:tc>
        <w:tc>
          <w:tcPr>
            <w:tcW w:w="3402" w:type="dxa"/>
            <w:gridSpan w:val="2"/>
          </w:tcPr>
          <w:p w:rsidR="00B12680" w:rsidRPr="00CD00D9" w:rsidP="0071701B" w14:paraId="1B2C4338" w14:textId="2F83576A">
            <w:pPr>
              <w:rPr>
                <w:rFonts w:ascii="Times New Roman" w:hAnsi="Times New Roman" w:cs="Times New Roman"/>
                <w:sz w:val="24"/>
                <w:szCs w:val="24"/>
              </w:rPr>
            </w:pPr>
            <w:r w:rsidRPr="00CD00D9">
              <w:rPr>
                <w:rFonts w:ascii="Times New Roman" w:hAnsi="Times New Roman" w:cs="Times New Roman"/>
                <w:sz w:val="24"/>
                <w:szCs w:val="24"/>
              </w:rPr>
              <w:t xml:space="preserve">Nr. </w:t>
            </w:r>
            <w:r w:rsidRPr="003F1098" w:rsidR="0071701B">
              <w:rPr>
                <w:rFonts w:ascii="Times New Roman" w:hAnsi="Times New Roman" w:cs="Times New Roman"/>
                <w:sz w:val="24"/>
                <w:szCs w:val="24"/>
              </w:rPr>
              <w:t>2.5/2023/1787</w:t>
            </w:r>
          </w:p>
        </w:tc>
      </w:tr>
      <w:tr w14:paraId="1B2C433C" w14:textId="77777777" w:rsidTr="007A0EDB">
        <w:tblPrEx>
          <w:tblW w:w="8642" w:type="dxa"/>
          <w:tblLayout w:type="fixed"/>
          <w:tblLook w:val="04A0"/>
        </w:tblPrEx>
        <w:trPr>
          <w:gridAfter w:val="1"/>
          <w:wAfter w:w="3005" w:type="dxa"/>
        </w:trPr>
        <w:tc>
          <w:tcPr>
            <w:tcW w:w="2235" w:type="dxa"/>
          </w:tcPr>
          <w:p w:rsidR="00B12680" w:rsidRPr="00CD00D9" w:rsidP="00D413BB" w14:paraId="1B2C433A" w14:textId="77777777">
            <w:pPr>
              <w:rPr>
                <w:rFonts w:ascii="Times New Roman" w:hAnsi="Times New Roman" w:cs="Times New Roman"/>
                <w:sz w:val="24"/>
                <w:szCs w:val="24"/>
              </w:rPr>
            </w:pPr>
            <w:r w:rsidRPr="00CD00D9">
              <w:rPr>
                <w:rFonts w:ascii="Times New Roman" w:hAnsi="Times New Roman" w:cs="Times New Roman"/>
                <w:sz w:val="24"/>
                <w:szCs w:val="24"/>
              </w:rPr>
              <w:t xml:space="preserve">Uz </w:t>
            </w:r>
          </w:p>
        </w:tc>
        <w:tc>
          <w:tcPr>
            <w:tcW w:w="3402" w:type="dxa"/>
            <w:gridSpan w:val="2"/>
          </w:tcPr>
          <w:p w:rsidR="00B12680" w:rsidRPr="00CD00D9" w:rsidP="00B12680" w14:paraId="1B2C433B" w14:textId="77777777">
            <w:pPr>
              <w:rPr>
                <w:rFonts w:ascii="Times New Roman" w:hAnsi="Times New Roman" w:cs="Times New Roman"/>
                <w:sz w:val="24"/>
                <w:szCs w:val="24"/>
              </w:rPr>
            </w:pPr>
            <w:r w:rsidRPr="00CD00D9">
              <w:rPr>
                <w:rFonts w:ascii="Times New Roman" w:hAnsi="Times New Roman" w:cs="Times New Roman"/>
                <w:sz w:val="24"/>
                <w:szCs w:val="24"/>
              </w:rPr>
              <w:t xml:space="preserve">Nr. </w:t>
            </w:r>
          </w:p>
        </w:tc>
      </w:tr>
      <w:tr w14:paraId="1B2C433F" w14:textId="77777777" w:rsidTr="007A0EDB">
        <w:tblPrEx>
          <w:tblW w:w="8642" w:type="dxa"/>
          <w:tblLayout w:type="fixed"/>
          <w:tblLook w:val="04A0"/>
        </w:tblPrEx>
        <w:trPr>
          <w:gridBefore w:val="2"/>
          <w:wBefore w:w="3964" w:type="dxa"/>
        </w:trPr>
        <w:tc>
          <w:tcPr>
            <w:tcW w:w="4678" w:type="dxa"/>
            <w:gridSpan w:val="2"/>
          </w:tcPr>
          <w:p w:rsidR="001419F0" w:rsidRPr="00661266" w:rsidP="001419F0" w14:paraId="1B2C433E" w14:textId="2A2AD092">
            <w:pPr>
              <w:jc w:val="right"/>
              <w:rPr>
                <w:rFonts w:ascii="Times New Roman" w:hAnsi="Times New Roman" w:cs="Times New Roman"/>
                <w:sz w:val="24"/>
                <w:szCs w:val="24"/>
              </w:rPr>
            </w:pPr>
            <w:r w:rsidRPr="00661266">
              <w:rPr>
                <w:rFonts w:ascii="Times New Roman" w:hAnsi="Times New Roman" w:cs="Times New Roman"/>
                <w:sz w:val="24"/>
                <w:szCs w:val="24"/>
              </w:rPr>
              <w:t xml:space="preserve"> </w:t>
            </w:r>
            <w:r w:rsidRPr="0019530A">
              <w:rPr>
                <w:rFonts w:ascii="Times New Roman" w:hAnsi="Times New Roman" w:cs="Times New Roman"/>
                <w:b/>
                <w:bCs/>
                <w:sz w:val="24"/>
                <w:szCs w:val="24"/>
              </w:rPr>
              <w:t>Satiksmes ministrija</w:t>
            </w:r>
            <w:r w:rsidRPr="00661266">
              <w:rPr>
                <w:rFonts w:ascii="Times New Roman" w:hAnsi="Times New Roman" w:cs="Times New Roman"/>
                <w:sz w:val="24"/>
                <w:szCs w:val="24"/>
              </w:rPr>
              <w:br/>
              <w:t>Gogoļa iela 3, Rīga, LV-1050</w:t>
            </w:r>
            <w:r w:rsidRPr="00661266">
              <w:rPr>
                <w:rFonts w:ascii="Times New Roman" w:hAnsi="Times New Roman" w:cs="Times New Roman"/>
                <w:sz w:val="24"/>
                <w:szCs w:val="24"/>
              </w:rPr>
              <w:br/>
            </w:r>
            <w:r w:rsidRPr="00661266">
              <w:rPr>
                <w:rFonts w:ascii="Times New Roman" w:hAnsi="Times New Roman" w:cs="Times New Roman"/>
                <w:sz w:val="24"/>
                <w:szCs w:val="24"/>
              </w:rPr>
              <w:br/>
            </w:r>
            <w:r w:rsidRPr="0019530A">
              <w:rPr>
                <w:rFonts w:ascii="Times New Roman" w:hAnsi="Times New Roman" w:cs="Times New Roman"/>
                <w:b/>
                <w:bCs/>
                <w:sz w:val="24"/>
                <w:szCs w:val="24"/>
              </w:rPr>
              <w:t>Klimata un enerģētikas ministrija</w:t>
            </w:r>
            <w:r w:rsidRPr="00661266">
              <w:rPr>
                <w:rFonts w:ascii="Times New Roman" w:hAnsi="Times New Roman" w:cs="Times New Roman"/>
                <w:sz w:val="24"/>
                <w:szCs w:val="24"/>
              </w:rPr>
              <w:br/>
              <w:t>Peldu iela 26/28, Rīga, LV-1050</w:t>
            </w:r>
            <w:r w:rsidRPr="00661266">
              <w:rPr>
                <w:rFonts w:ascii="Times New Roman" w:hAnsi="Times New Roman" w:cs="Times New Roman"/>
                <w:sz w:val="24"/>
                <w:szCs w:val="24"/>
              </w:rPr>
              <w:br/>
            </w:r>
            <w:r w:rsidRPr="00661266">
              <w:rPr>
                <w:rFonts w:ascii="Times New Roman" w:hAnsi="Times New Roman" w:cs="Times New Roman"/>
                <w:sz w:val="24"/>
                <w:szCs w:val="24"/>
              </w:rPr>
              <w:br/>
            </w:r>
            <w:r w:rsidRPr="0019530A">
              <w:rPr>
                <w:rFonts w:ascii="Times New Roman" w:hAnsi="Times New Roman" w:cs="Times New Roman"/>
                <w:b/>
                <w:bCs/>
                <w:sz w:val="24"/>
                <w:szCs w:val="24"/>
              </w:rPr>
              <w:t>Finanšu ministrija</w:t>
            </w:r>
            <w:r w:rsidRPr="00661266">
              <w:rPr>
                <w:rFonts w:ascii="Times New Roman" w:hAnsi="Times New Roman" w:cs="Times New Roman"/>
                <w:sz w:val="24"/>
                <w:szCs w:val="24"/>
              </w:rPr>
              <w:br/>
              <w:t>Smilšu iela 1, Rīga, LV-1050</w:t>
            </w:r>
            <w:r w:rsidRPr="00661266">
              <w:rPr>
                <w:rFonts w:ascii="Times New Roman" w:hAnsi="Times New Roman" w:cs="Times New Roman"/>
                <w:sz w:val="24"/>
                <w:szCs w:val="24"/>
              </w:rPr>
              <w:br/>
            </w:r>
            <w:r w:rsidRPr="00661266">
              <w:rPr>
                <w:rFonts w:ascii="Times New Roman" w:hAnsi="Times New Roman" w:cs="Times New Roman"/>
                <w:sz w:val="24"/>
                <w:szCs w:val="24"/>
              </w:rPr>
              <w:br/>
            </w:r>
            <w:r w:rsidRPr="0019530A">
              <w:rPr>
                <w:rFonts w:ascii="Times New Roman" w:hAnsi="Times New Roman" w:cs="Times New Roman"/>
                <w:b/>
                <w:bCs/>
                <w:sz w:val="24"/>
                <w:szCs w:val="24"/>
              </w:rPr>
              <w:t>Ekonomikas ministrija</w:t>
            </w:r>
            <w:r w:rsidRPr="00661266">
              <w:rPr>
                <w:rFonts w:ascii="Times New Roman" w:hAnsi="Times New Roman" w:cs="Times New Roman"/>
                <w:sz w:val="24"/>
                <w:szCs w:val="24"/>
              </w:rPr>
              <w:br/>
              <w:t xml:space="preserve">Brīvības iela 55, </w:t>
            </w:r>
            <w:r w:rsidRPr="00661266">
              <w:rPr>
                <w:rFonts w:ascii="Times New Roman" w:hAnsi="Times New Roman" w:cs="Times New Roman"/>
                <w:sz w:val="24"/>
                <w:szCs w:val="24"/>
              </w:rPr>
              <w:t>Rīga, LV-1010</w:t>
            </w:r>
            <w:r w:rsidRPr="00661266">
              <w:rPr>
                <w:rFonts w:ascii="Times New Roman" w:hAnsi="Times New Roman" w:cs="Times New Roman"/>
                <w:sz w:val="24"/>
                <w:szCs w:val="24"/>
              </w:rPr>
              <w:br/>
            </w:r>
            <w:r w:rsidRPr="00661266">
              <w:rPr>
                <w:rFonts w:ascii="Times New Roman" w:hAnsi="Times New Roman" w:cs="Times New Roman"/>
                <w:sz w:val="24"/>
                <w:szCs w:val="24"/>
              </w:rPr>
              <w:br/>
            </w:r>
          </w:p>
        </w:tc>
      </w:tr>
    </w:tbl>
    <w:p w:rsidR="001419F0" w:rsidRPr="00661266" w:rsidP="00D413BB" w14:paraId="1B2C4340" w14:textId="77777777">
      <w:pPr>
        <w:rPr>
          <w:rFonts w:ascii="Times New Roman" w:hAnsi="Times New Roman" w:cs="Times New Roman"/>
          <w:sz w:val="24"/>
          <w:szCs w:val="24"/>
        </w:rPr>
      </w:pPr>
    </w:p>
    <w:p w:rsidR="00772C36" w:rsidRPr="0019530A" w:rsidP="0019530A" w14:paraId="1B2C4341" w14:textId="778A9F3C">
      <w:pPr>
        <w:jc w:val="both"/>
        <w:rPr>
          <w:rFonts w:ascii="Times New Roman" w:hAnsi="Times New Roman" w:cs="Times New Roman"/>
          <w:i/>
          <w:iCs/>
          <w:sz w:val="24"/>
          <w:szCs w:val="24"/>
        </w:rPr>
      </w:pPr>
      <w:r w:rsidRPr="0019530A">
        <w:rPr>
          <w:rFonts w:ascii="Times New Roman" w:hAnsi="Times New Roman" w:cs="Times New Roman"/>
          <w:i/>
          <w:iCs/>
          <w:sz w:val="24"/>
          <w:szCs w:val="24"/>
        </w:rPr>
        <w:t xml:space="preserve">Par Ministru kabineta noteikumu projektu </w:t>
      </w:r>
      <w:bookmarkStart w:id="0" w:name="_Hlk133232022"/>
      <w:r w:rsidRPr="0019530A">
        <w:rPr>
          <w:rFonts w:ascii="Times New Roman" w:hAnsi="Times New Roman" w:cs="Times New Roman"/>
          <w:i/>
          <w:iCs/>
          <w:sz w:val="24"/>
          <w:szCs w:val="24"/>
        </w:rPr>
        <w:t>"Kārtība, kādā nodod lietošanā vai apgrūtina valstij piederošo vai piekrītošo zemi publiskās lietošanas dzelzceļa infrastruktūras zemes nodalījuma joslā"</w:t>
      </w:r>
      <w:bookmarkEnd w:id="0"/>
      <w:r w:rsidRPr="0019530A">
        <w:rPr>
          <w:rFonts w:ascii="Times New Roman" w:hAnsi="Times New Roman" w:cs="Times New Roman"/>
          <w:i/>
          <w:iCs/>
          <w:sz w:val="24"/>
          <w:szCs w:val="24"/>
        </w:rPr>
        <w:t xml:space="preserve"> (22-TA-3386)</w:t>
      </w:r>
    </w:p>
    <w:p w:rsidR="00550F7E" w14:paraId="1C0BC892" w14:textId="0B1A4D27">
      <w:pPr>
        <w:rPr>
          <w:rFonts w:ascii="Times New Roman" w:hAnsi="Times New Roman" w:cs="Times New Roman"/>
          <w:sz w:val="24"/>
          <w:szCs w:val="24"/>
        </w:rPr>
      </w:pPr>
    </w:p>
    <w:p w:rsidR="00550F7E" w:rsidRPr="00550F7E" w:rsidP="0019530A" w14:paraId="53790AC7" w14:textId="2E5D10C5">
      <w:pPr>
        <w:ind w:firstLine="720"/>
        <w:jc w:val="both"/>
        <w:rPr>
          <w:rFonts w:ascii="Times New Roman" w:hAnsi="Times New Roman" w:cs="Times New Roman"/>
          <w:sz w:val="24"/>
          <w:szCs w:val="24"/>
        </w:rPr>
      </w:pPr>
      <w:r w:rsidRPr="00550F7E">
        <w:rPr>
          <w:rFonts w:ascii="Times New Roman" w:hAnsi="Times New Roman" w:cs="Times New Roman"/>
          <w:sz w:val="24"/>
          <w:szCs w:val="24"/>
        </w:rPr>
        <w:t xml:space="preserve">2023.gada 17.aprīlī </w:t>
      </w:r>
      <w:r w:rsidRPr="00550F7E">
        <w:rPr>
          <w:rFonts w:ascii="Times New Roman" w:hAnsi="Times New Roman" w:cs="Times New Roman"/>
          <w:sz w:val="24"/>
          <w:szCs w:val="24"/>
        </w:rPr>
        <w:t>saskaņošanai ir nodots Satiksmes ministrijas izstrādātais  Ministru kabineta noteikumu projekts "Kārtība, kādā nodod lietošanā vai apgrūtina valstij piederošo vai piekrītošo zemi publiskās lietošanas dzelzceļa infrastruktūras zemes nodalījuma joslā" (22-TA</w:t>
      </w:r>
      <w:r w:rsidRPr="00550F7E">
        <w:rPr>
          <w:rFonts w:ascii="Times New Roman" w:hAnsi="Times New Roman" w:cs="Times New Roman"/>
          <w:sz w:val="24"/>
          <w:szCs w:val="24"/>
        </w:rPr>
        <w:t>-3386), turpmāk – Noteikumu projekts. Ņemot vērā, ka AS "Augstsprieguma tīkls" (turpmāk – AST) nav saņēmusi atzinuma pieprasījumu par sagatavoto Noteikumu projektu Vienotajā tiesību aktu projektu izstrādes un saskaņošanas portālā, atzinums tiek iesniegts a</w:t>
      </w:r>
      <w:r w:rsidRPr="00550F7E">
        <w:rPr>
          <w:rFonts w:ascii="Times New Roman" w:hAnsi="Times New Roman" w:cs="Times New Roman"/>
          <w:sz w:val="24"/>
          <w:szCs w:val="24"/>
        </w:rPr>
        <w:t>tsevišķa dokumenta formā, adresējot to Noteikumu projekta izstrādātājam un citām iesaistītajām institūcijām. AST kā elektroenerģijas pārvades sistēmas operators, kura likumīgās intereses kritiski ietekmē sagatavotais Noteikumu projekts, izsaka šādus iebild</w:t>
      </w:r>
      <w:r w:rsidRPr="00550F7E">
        <w:rPr>
          <w:rFonts w:ascii="Times New Roman" w:hAnsi="Times New Roman" w:cs="Times New Roman"/>
          <w:sz w:val="24"/>
          <w:szCs w:val="24"/>
        </w:rPr>
        <w:t>umus:</w:t>
      </w:r>
    </w:p>
    <w:p w:rsidR="00550F7E" w:rsidRPr="0019530A" w:rsidP="0019530A" w14:paraId="659F67FB" w14:textId="77777777">
      <w:pPr>
        <w:jc w:val="both"/>
        <w:rPr>
          <w:rFonts w:ascii="Times New Roman" w:hAnsi="Times New Roman" w:cs="Times New Roman"/>
          <w:b/>
          <w:bCs/>
          <w:i/>
          <w:iCs/>
          <w:sz w:val="24"/>
          <w:szCs w:val="24"/>
          <w:u w:val="single"/>
        </w:rPr>
      </w:pPr>
      <w:r w:rsidRPr="0019530A">
        <w:rPr>
          <w:rFonts w:ascii="Times New Roman" w:hAnsi="Times New Roman" w:cs="Times New Roman"/>
          <w:b/>
          <w:bCs/>
          <w:i/>
          <w:iCs/>
          <w:sz w:val="24"/>
          <w:szCs w:val="24"/>
          <w:u w:val="single"/>
        </w:rPr>
        <w:t>Noteikumu projekts daļā par dzelzceļa infrastruktūras zemes nodalījuma joslā izvietoto inženierbūvju pārvietošanas noteikumiem pārsniedz Dzelzceļa likuma 15.panta otrajā daļā Ministru kabinetam noteikto deleģējumu.</w:t>
      </w:r>
    </w:p>
    <w:p w:rsidR="00550F7E" w:rsidRPr="00550F7E" w:rsidP="0019530A" w14:paraId="2F64F368"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Noteikumu projektā norādīts, ka not</w:t>
      </w:r>
      <w:r w:rsidRPr="00550F7E">
        <w:rPr>
          <w:rFonts w:ascii="Times New Roman" w:hAnsi="Times New Roman" w:cs="Times New Roman"/>
          <w:sz w:val="24"/>
          <w:szCs w:val="24"/>
        </w:rPr>
        <w:t>eikumi izdoti saskaņā ar Dzelzceļa likuma 15. panta otro daļu, kas nosaka, ka Ministru kabinets izdod noteikumus par šajā daļā minētās valstij piederošās vai piekrītošās zemes nodošanu lietošanā vai apgrūtināšanu ar servitūtiem ēku, būvju, virszemes vai pa</w:t>
      </w:r>
      <w:r w:rsidRPr="00550F7E">
        <w:rPr>
          <w:rFonts w:ascii="Times New Roman" w:hAnsi="Times New Roman" w:cs="Times New Roman"/>
          <w:sz w:val="24"/>
          <w:szCs w:val="24"/>
        </w:rPr>
        <w:t xml:space="preserve">zemes komunikāciju būvniecībai vai citas saimnieciskās darbības veikšanai. </w:t>
      </w:r>
    </w:p>
    <w:p w:rsidR="00550F7E" w:rsidRPr="00550F7E" w:rsidP="0019530A" w14:paraId="4EDAB3D9" w14:textId="4359225E">
      <w:pPr>
        <w:ind w:firstLine="720"/>
        <w:jc w:val="both"/>
        <w:rPr>
          <w:rFonts w:ascii="Times New Roman" w:hAnsi="Times New Roman" w:cs="Times New Roman"/>
          <w:sz w:val="24"/>
          <w:szCs w:val="24"/>
        </w:rPr>
      </w:pPr>
      <w:r w:rsidRPr="00550F7E">
        <w:rPr>
          <w:rFonts w:ascii="Times New Roman" w:hAnsi="Times New Roman" w:cs="Times New Roman"/>
          <w:sz w:val="24"/>
          <w:szCs w:val="24"/>
        </w:rPr>
        <w:t xml:space="preserve">AST ieskatā Noteikumu projekta 12.punktā ietvertais tiesiskais regulējums, kas paredz, ka </w:t>
      </w:r>
      <w:r w:rsidRPr="00612498">
        <w:rPr>
          <w:rFonts w:ascii="Times New Roman" w:hAnsi="Times New Roman" w:cs="Times New Roman"/>
          <w:i/>
          <w:iCs/>
          <w:sz w:val="24"/>
          <w:szCs w:val="24"/>
        </w:rPr>
        <w:t>"līgumā par zemes lietošanas tiesību aprobežošanu paredz, ka šo noteikumu 9. punktā minēto</w:t>
      </w:r>
      <w:r w:rsidRPr="00612498">
        <w:rPr>
          <w:rFonts w:ascii="Times New Roman" w:hAnsi="Times New Roman" w:cs="Times New Roman"/>
          <w:i/>
          <w:iCs/>
          <w:sz w:val="24"/>
          <w:szCs w:val="24"/>
        </w:rPr>
        <w:t xml:space="preserve"> inženierbūvi pārvieto par inženierbūves īpašnieka vai tiesiskā valdītāja līdzekļiem, ja zeme nepieciešama dzelzceļa infrastruktūras attīstībai, pārvaldītāja darbības nodrošināšanai vai normatīvajos aktos noteikto publisko funkciju veikšana"</w:t>
      </w:r>
      <w:r w:rsidRPr="00550F7E">
        <w:rPr>
          <w:rFonts w:ascii="Times New Roman" w:hAnsi="Times New Roman" w:cs="Times New Roman"/>
          <w:sz w:val="24"/>
          <w:szCs w:val="24"/>
        </w:rPr>
        <w:t xml:space="preserve"> pārsniedz Dzel</w:t>
      </w:r>
      <w:r w:rsidRPr="00550F7E">
        <w:rPr>
          <w:rFonts w:ascii="Times New Roman" w:hAnsi="Times New Roman" w:cs="Times New Roman"/>
          <w:sz w:val="24"/>
          <w:szCs w:val="24"/>
        </w:rPr>
        <w:t>zceļa likuma 15.panta otrajā daļā noteikto deleģējuma apjomu, jo tas neietver pilnvarojumu Ministru kabinetam noteikt kārtību</w:t>
      </w:r>
      <w:r w:rsidR="00612498">
        <w:rPr>
          <w:rFonts w:ascii="Times New Roman" w:hAnsi="Times New Roman" w:cs="Times New Roman"/>
          <w:sz w:val="24"/>
          <w:szCs w:val="24"/>
        </w:rPr>
        <w:t>,</w:t>
      </w:r>
      <w:r w:rsidRPr="00550F7E">
        <w:rPr>
          <w:rFonts w:ascii="Times New Roman" w:hAnsi="Times New Roman" w:cs="Times New Roman"/>
          <w:sz w:val="24"/>
          <w:szCs w:val="24"/>
        </w:rPr>
        <w:t xml:space="preserve"> kādā tiek pārvietotas dzelzceļa infrastruktūras zemes nodalījuma joslā izvietotās inženierbūves. Normatīvais regulējums par inžen</w:t>
      </w:r>
      <w:r w:rsidRPr="00550F7E">
        <w:rPr>
          <w:rFonts w:ascii="Times New Roman" w:hAnsi="Times New Roman" w:cs="Times New Roman"/>
          <w:sz w:val="24"/>
          <w:szCs w:val="24"/>
        </w:rPr>
        <w:t xml:space="preserve">ierbūvju pārvietošanu jau šobrīd ir noteikts Aizsargjoslu likumā, Enerģētikas likumā, Elektronisko sakaru likumā, kā arī Ūdenssaimniecības pakalpojumu likumā un tas paredz attiecīgā inženierkomunikāciju turētāja objektu pārvietošanu </w:t>
      </w:r>
      <w:r w:rsidRPr="00612498">
        <w:rPr>
          <w:rFonts w:ascii="Times New Roman" w:hAnsi="Times New Roman" w:cs="Times New Roman"/>
          <w:sz w:val="24"/>
          <w:szCs w:val="24"/>
          <w:u w:val="single"/>
        </w:rPr>
        <w:t>par nekustamā īpašuma ī</w:t>
      </w:r>
      <w:r w:rsidRPr="00612498">
        <w:rPr>
          <w:rFonts w:ascii="Times New Roman" w:hAnsi="Times New Roman" w:cs="Times New Roman"/>
          <w:sz w:val="24"/>
          <w:szCs w:val="24"/>
          <w:u w:val="single"/>
        </w:rPr>
        <w:t>pašnieka līdzekļiem</w:t>
      </w:r>
      <w:r w:rsidRPr="00550F7E">
        <w:rPr>
          <w:rFonts w:ascii="Times New Roman" w:hAnsi="Times New Roman" w:cs="Times New Roman"/>
          <w:sz w:val="24"/>
          <w:szCs w:val="24"/>
        </w:rPr>
        <w:t>. Attiecīgi konstatējams, ka Noteikumu projektā iekļautie noteikumi par inženierbūvju pārvietošanu ir pretrunā augstāka juridiskā spēka tiesību normām un var radīt tiesību normu kolīzijas, kas, savukārt, ietekmēs tiesiskā regulējuma efek</w:t>
      </w:r>
      <w:r w:rsidRPr="00550F7E">
        <w:rPr>
          <w:rFonts w:ascii="Times New Roman" w:hAnsi="Times New Roman" w:cs="Times New Roman"/>
          <w:sz w:val="24"/>
          <w:szCs w:val="24"/>
        </w:rPr>
        <w:t>tivitāti, veidojoties atšķirīgai tiesību normu izpratnei un piemērošanai.</w:t>
      </w:r>
    </w:p>
    <w:p w:rsidR="00550F7E" w:rsidRPr="0019530A" w:rsidP="00550F7E" w14:paraId="37326838" w14:textId="77777777">
      <w:pPr>
        <w:jc w:val="both"/>
        <w:rPr>
          <w:rFonts w:ascii="Times New Roman" w:hAnsi="Times New Roman" w:cs="Times New Roman"/>
          <w:b/>
          <w:bCs/>
          <w:sz w:val="24"/>
          <w:szCs w:val="24"/>
          <w:u w:val="single"/>
        </w:rPr>
      </w:pPr>
      <w:r w:rsidRPr="0019530A">
        <w:rPr>
          <w:rFonts w:ascii="Times New Roman" w:hAnsi="Times New Roman" w:cs="Times New Roman"/>
          <w:b/>
          <w:bCs/>
          <w:sz w:val="24"/>
          <w:szCs w:val="24"/>
          <w:u w:val="single"/>
        </w:rPr>
        <w:t>AST kā energoapgādes komersanta tiesību aizskārums</w:t>
      </w:r>
    </w:p>
    <w:p w:rsidR="00550F7E" w:rsidRPr="00550F7E" w:rsidP="00671A38" w14:paraId="23D504C3" w14:textId="47904735">
      <w:pPr>
        <w:ind w:firstLine="720"/>
        <w:jc w:val="both"/>
        <w:rPr>
          <w:rFonts w:ascii="Times New Roman" w:hAnsi="Times New Roman" w:cs="Times New Roman"/>
          <w:sz w:val="24"/>
          <w:szCs w:val="24"/>
        </w:rPr>
      </w:pPr>
      <w:r w:rsidRPr="00550F7E">
        <w:rPr>
          <w:rFonts w:ascii="Times New Roman" w:hAnsi="Times New Roman" w:cs="Times New Roman"/>
          <w:sz w:val="24"/>
          <w:szCs w:val="24"/>
        </w:rPr>
        <w:t>AST norāda, ka pilnīgi visa AST energopārvades līniju infrastruktūra, līdzīgi kā citiem energoapgādes komersantiem (AS "Sadales tīk</w:t>
      </w:r>
      <w:r w:rsidRPr="00550F7E">
        <w:rPr>
          <w:rFonts w:ascii="Times New Roman" w:hAnsi="Times New Roman" w:cs="Times New Roman"/>
          <w:sz w:val="24"/>
          <w:szCs w:val="24"/>
        </w:rPr>
        <w:t>ls", AS „Conexus Baltic Grid”, AS “Gaso”, AS "Rīgas Siltums"), ir izvietota teritorijā, kas nepieder energoapgādes objekta valdītājam, proti, uz trešajām personām piederošiem zemes īpašumiem. Šāds risinājums ir ierasta prakse gan Latvijā, gan ārvalstīs. At</w:t>
      </w:r>
      <w:r w:rsidRPr="00550F7E">
        <w:rPr>
          <w:rFonts w:ascii="Times New Roman" w:hAnsi="Times New Roman" w:cs="Times New Roman"/>
          <w:sz w:val="24"/>
          <w:szCs w:val="24"/>
        </w:rPr>
        <w:t>tiecīgi Enerģētikas likuma 23. panta otrajā daļā, lai sasniegtu likumā noteikto mērķi nodrošināt efektīvu, drošu un kvalitatīvu energoapgādi, paredzēts princips, ka esošo energoapgādes komersantu objektu pārvietošanu pēc pamatotas nekustamā īpašuma īpašnie</w:t>
      </w:r>
      <w:r w:rsidRPr="00550F7E">
        <w:rPr>
          <w:rFonts w:ascii="Times New Roman" w:hAnsi="Times New Roman" w:cs="Times New Roman"/>
          <w:sz w:val="24"/>
          <w:szCs w:val="24"/>
        </w:rPr>
        <w:t xml:space="preserve">ka prasības veic par nekustamā īpašuma īpašnieka līdzekļiem. Bez tam saskaņā ar Enerģētikas likuma </w:t>
      </w:r>
      <w:r w:rsidRPr="00550F7E">
        <w:rPr>
          <w:rFonts w:ascii="Times New Roman" w:hAnsi="Times New Roman" w:cs="Times New Roman"/>
          <w:sz w:val="24"/>
          <w:szCs w:val="24"/>
        </w:rPr>
        <w:t>19. panta pirmo daļu, energoapgādes komersantam ir tiesības izmantot jebkuru zemi energoapgādes objektu ierīkošanai, veicot vienreizēju samaksu tā īpašnieka</w:t>
      </w:r>
      <w:r w:rsidRPr="00550F7E">
        <w:rPr>
          <w:rFonts w:ascii="Times New Roman" w:hAnsi="Times New Roman" w:cs="Times New Roman"/>
          <w:sz w:val="24"/>
          <w:szCs w:val="24"/>
        </w:rPr>
        <w:t>m. Nav pieļaujama situācija, ka esošu elektropārvades līniju pārvietošanu AST ir jāveic jebkurā brīdī un par saviem līdzekļiem. Šādā gadījumā tiktu pārkāpts Enerģētikas likumā noteiktais princips attiecībā uz energoapgādes objektu darbspējas un ekspluatāci</w:t>
      </w:r>
      <w:r w:rsidRPr="00550F7E">
        <w:rPr>
          <w:rFonts w:ascii="Times New Roman" w:hAnsi="Times New Roman" w:cs="Times New Roman"/>
          <w:sz w:val="24"/>
          <w:szCs w:val="24"/>
        </w:rPr>
        <w:t>jas izmaksu noteiktību, kas ir tikpat nozīmīgas kā dzelzceļa infrastruktūras attīstība, uzturēšana un darbības nodrošināšana. Minētais noteikts arī Senāta 2011. gada 24. maija spriedumā lietā SKA-47/2011, saskaņā ar kuru energoapgādes komersantam ir piešķi</w:t>
      </w:r>
      <w:r w:rsidRPr="00550F7E">
        <w:rPr>
          <w:rFonts w:ascii="Times New Roman" w:hAnsi="Times New Roman" w:cs="Times New Roman"/>
          <w:sz w:val="24"/>
          <w:szCs w:val="24"/>
        </w:rPr>
        <w:t xml:space="preserve">rtas īpašas tiesības izmantot svešu zemi jaunu energoapgādes objektu ierīkošanai, jo to nosaka visas sabiedrības intereses saņemt energoapgādes pakalpojumus. </w:t>
      </w:r>
    </w:p>
    <w:p w:rsidR="00550F7E" w:rsidRPr="00550F7E" w:rsidP="00671A38" w14:paraId="3E246D34"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Papildus norādāms, ka gadījumā, ja attiecīgais energoapgādes objekts ir izveidots par Eiropas Sav</w:t>
      </w:r>
      <w:r w:rsidRPr="00550F7E">
        <w:rPr>
          <w:rFonts w:ascii="Times New Roman" w:hAnsi="Times New Roman" w:cs="Times New Roman"/>
          <w:sz w:val="24"/>
          <w:szCs w:val="24"/>
        </w:rPr>
        <w:t xml:space="preserve">ienības fondu līdzekļiem, tā pārvietošana ir apgrūtināta un var apdraudēt konkrētā Eiropas savienības finansētā projekta īstenošanu vai izbūvēta objekta gadījumā var novest pie saņemtā līdzfinansējuma vai tā daļas atmaksāšanas riskiem.  AST budžetā šobrīd </w:t>
      </w:r>
      <w:r w:rsidRPr="00550F7E">
        <w:rPr>
          <w:rFonts w:ascii="Times New Roman" w:hAnsi="Times New Roman" w:cs="Times New Roman"/>
          <w:sz w:val="24"/>
          <w:szCs w:val="24"/>
        </w:rPr>
        <w:t xml:space="preserve">nav paredzēti līdzekļi energoapgādes objektu piespiedu pārvietošanai. Tādēļ, ņemot vērā, ka AST izdevumi, līdzīgi kā citiem energoapgādes komersantiem, tiek ietverti elektroenerģijas pakalpojuma sniegšanas tarifā, </w:t>
      </w:r>
      <w:r w:rsidRPr="00550F7E">
        <w:rPr>
          <w:rFonts w:ascii="Times New Roman" w:hAnsi="Times New Roman" w:cs="Times New Roman"/>
          <w:sz w:val="24"/>
          <w:szCs w:val="24"/>
        </w:rPr>
        <w:t>palielinoties AST izdevumiem, tiktu radīta</w:t>
      </w:r>
      <w:r w:rsidRPr="00550F7E">
        <w:rPr>
          <w:rFonts w:ascii="Times New Roman" w:hAnsi="Times New Roman" w:cs="Times New Roman"/>
          <w:sz w:val="24"/>
          <w:szCs w:val="24"/>
        </w:rPr>
        <w:t xml:space="preserve"> negatīva ietekme uz pārvades sistēmas pakalpojumu tarifu. </w:t>
      </w:r>
    </w:p>
    <w:p w:rsidR="00550F7E" w:rsidRPr="00550F7E" w:rsidP="00671A38" w14:paraId="167E3EDB"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Papildus jānorāda, ka Noteikumu projekta 12.punkta tiesiskais regulējums ir pretrunā Aizsargjoslu likuma 35. panta sestajai daļai, saskaņā ar kuru, juridiskās un fiziskās personas, veicot aizsargj</w:t>
      </w:r>
      <w:r w:rsidRPr="00550F7E">
        <w:rPr>
          <w:rFonts w:ascii="Times New Roman" w:hAnsi="Times New Roman" w:cs="Times New Roman"/>
          <w:sz w:val="24"/>
          <w:szCs w:val="24"/>
        </w:rPr>
        <w:t>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w:t>
      </w:r>
      <w:r w:rsidRPr="00550F7E">
        <w:rPr>
          <w:rFonts w:ascii="Times New Roman" w:hAnsi="Times New Roman" w:cs="Times New Roman"/>
          <w:sz w:val="24"/>
          <w:szCs w:val="24"/>
        </w:rPr>
        <w:t xml:space="preserve">dz attiecīgā juridiskā vai fiziskā persona vai - pēc savstarpējas vienošanās - objekta īpašnieks vai valdītājs. </w:t>
      </w:r>
    </w:p>
    <w:p w:rsidR="00550F7E" w:rsidRPr="00550F7E" w:rsidP="00671A38" w14:paraId="043E1EAB" w14:textId="6311A7E0">
      <w:pPr>
        <w:ind w:firstLine="720"/>
        <w:jc w:val="both"/>
        <w:rPr>
          <w:rFonts w:ascii="Times New Roman" w:hAnsi="Times New Roman" w:cs="Times New Roman"/>
          <w:sz w:val="24"/>
          <w:szCs w:val="24"/>
        </w:rPr>
      </w:pPr>
      <w:r w:rsidRPr="00550F7E">
        <w:rPr>
          <w:rFonts w:ascii="Times New Roman" w:hAnsi="Times New Roman" w:cs="Times New Roman"/>
          <w:sz w:val="24"/>
          <w:szCs w:val="24"/>
        </w:rPr>
        <w:t xml:space="preserve">Aizsargjoslu likuma mērķis ir attiecīgā aizsargjoslu objekta vai teritorijas aizsardzība un darbības nepārtrauktības nodrošināšana. Arī </w:t>
      </w:r>
      <w:r w:rsidR="00612498">
        <w:rPr>
          <w:rFonts w:ascii="Times New Roman" w:hAnsi="Times New Roman" w:cs="Times New Roman"/>
          <w:sz w:val="24"/>
          <w:szCs w:val="24"/>
        </w:rPr>
        <w:t xml:space="preserve">dzelzceļa </w:t>
      </w:r>
      <w:r w:rsidRPr="00550F7E">
        <w:rPr>
          <w:rFonts w:ascii="Times New Roman" w:hAnsi="Times New Roman" w:cs="Times New Roman"/>
          <w:sz w:val="24"/>
          <w:szCs w:val="24"/>
        </w:rPr>
        <w:t>zemes nodalījuma josla saskaņā ar Dzelzceļa likuma 1. panta 11.punktu tiek izveidota, lai nodrošinātu dzelzceļa infrastruktūras attīstību un drošu ekspluatāciju, kā arī pasargātu cilvēkus un vidi no dzelzceļa kaitīgās ietekmes. Attiecīgi situācij</w:t>
      </w:r>
      <w:r w:rsidRPr="00550F7E">
        <w:rPr>
          <w:rFonts w:ascii="Times New Roman" w:hAnsi="Times New Roman" w:cs="Times New Roman"/>
          <w:sz w:val="24"/>
          <w:szCs w:val="24"/>
        </w:rPr>
        <w:t>ā, kurā elektropārvades līniju aizsargjosla šķērso zemes nodalījuma joslu, jānodrošina abu infrastruktūras objektu īpašnieku interešu aizstāvība, nepiešķirot kādam no tiem prioritāti.</w:t>
      </w:r>
    </w:p>
    <w:p w:rsidR="00550F7E" w:rsidRPr="00612498" w:rsidP="00550F7E" w14:paraId="5E2B480E" w14:textId="77777777">
      <w:pPr>
        <w:jc w:val="both"/>
        <w:rPr>
          <w:rFonts w:ascii="Times New Roman" w:hAnsi="Times New Roman" w:cs="Times New Roman"/>
          <w:b/>
          <w:bCs/>
          <w:sz w:val="24"/>
          <w:szCs w:val="24"/>
          <w:u w:val="single"/>
        </w:rPr>
      </w:pPr>
      <w:r w:rsidRPr="00612498">
        <w:rPr>
          <w:rFonts w:ascii="Times New Roman" w:hAnsi="Times New Roman" w:cs="Times New Roman"/>
          <w:b/>
          <w:bCs/>
          <w:sz w:val="24"/>
          <w:szCs w:val="24"/>
          <w:u w:val="single"/>
        </w:rPr>
        <w:t>Satversmē nostiprināto tiesību aizskārums</w:t>
      </w:r>
    </w:p>
    <w:p w:rsidR="00550F7E" w:rsidRPr="00550F7E" w:rsidP="00671A38" w14:paraId="3D783B4B"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Pamatojoties uz Latvijas Repub</w:t>
      </w:r>
      <w:r w:rsidRPr="00550F7E">
        <w:rPr>
          <w:rFonts w:ascii="Times New Roman" w:hAnsi="Times New Roman" w:cs="Times New Roman"/>
          <w:sz w:val="24"/>
          <w:szCs w:val="24"/>
        </w:rPr>
        <w:t>likas Augstākās tiesas Senāta Civillietu departamenta 2013. gada 29. oktobra lēmumu lietā Nr. SPC-46/2013, tiesa ir noteikusi, ka publiskas personas kapitālsabiedrības darbība ir pakārtota privātajām tiesībām un pēc sava tiesiskā statusa tā atzīstama par p</w:t>
      </w:r>
      <w:r w:rsidRPr="00550F7E">
        <w:rPr>
          <w:rFonts w:ascii="Times New Roman" w:hAnsi="Times New Roman" w:cs="Times New Roman"/>
          <w:sz w:val="24"/>
          <w:szCs w:val="24"/>
        </w:rPr>
        <w:t>rivāto tiesību juridisku personu vai privāttiesību subjektu. Ņemot vērā minēto, AST piemērojams privāto tiesību juridiskās personas statuss un tādēļ uz to attiecināms Satversmē nostiprinātās tiesības.</w:t>
      </w:r>
    </w:p>
    <w:p w:rsidR="00550F7E" w:rsidRPr="00550F7E" w:rsidP="00671A38" w14:paraId="48878FE7"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Saskaņā ar Satversmes tiesas 2002.gada 11.novembra lēmu</w:t>
      </w:r>
      <w:r w:rsidRPr="00550F7E">
        <w:rPr>
          <w:rFonts w:ascii="Times New Roman" w:hAnsi="Times New Roman" w:cs="Times New Roman"/>
          <w:sz w:val="24"/>
          <w:szCs w:val="24"/>
        </w:rPr>
        <w:t>mu lietā Nr.2002-07-01, Satversmes tiesa ir atzinusi, ka Satversmē noteikto pamattiesību subjekts var būt gan fiziskā, gan juridiskā persona. No minētā var secināt, ka juridiskai personai piemīt Satversmē garantētās cilvēktiesības tiktāl, ciktāl uz juridis</w:t>
      </w:r>
      <w:r w:rsidRPr="00550F7E">
        <w:rPr>
          <w:rFonts w:ascii="Times New Roman" w:hAnsi="Times New Roman" w:cs="Times New Roman"/>
          <w:sz w:val="24"/>
          <w:szCs w:val="24"/>
        </w:rPr>
        <w:t>ku personu tās var attiecināt.</w:t>
      </w:r>
    </w:p>
    <w:p w:rsidR="00550F7E" w:rsidRPr="00550F7E" w:rsidP="00671A38" w14:paraId="13A85ABA"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AST  norāda, ka Noteikumu projekta 12. punkta tiesiskais regulējums būtiski aizskar Satversmes 105. pantā nostiprinātās tiesības, saskaņā ar ko ikvienam ir tiesības uz īpašumu. (..) Īpašuma tiesības var ierobežot vienīgi sask</w:t>
      </w:r>
      <w:r w:rsidRPr="00550F7E">
        <w:rPr>
          <w:rFonts w:ascii="Times New Roman" w:hAnsi="Times New Roman" w:cs="Times New Roman"/>
          <w:sz w:val="24"/>
          <w:szCs w:val="24"/>
        </w:rPr>
        <w:t>aņā ar likumu.(..)</w:t>
      </w:r>
    </w:p>
    <w:p w:rsidR="00550F7E" w:rsidRPr="00550F7E" w:rsidP="00671A38" w14:paraId="3CAD41D3"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Saskaņā ar Satversmes tiesas 2002.gada 20.maija spriedumu lietā Nr.2002-01-03, īpašuma tiesības var ierobežot, bet ierobežojums ir attaisnojams, ja tas ir samērīgs.  Lai nodrošinātu īpašuma tiesību ierobežojuma samērīgumu, likumdevējs va</w:t>
      </w:r>
      <w:r w:rsidRPr="00550F7E">
        <w:rPr>
          <w:rFonts w:ascii="Times New Roman" w:hAnsi="Times New Roman" w:cs="Times New Roman"/>
          <w:sz w:val="24"/>
          <w:szCs w:val="24"/>
        </w:rPr>
        <w:t xml:space="preserve">r paredzēt īpašniekam atlīdzību par zaudējumiem, kas viņam nodarīti ierobežojuma rezultātā.  </w:t>
      </w:r>
    </w:p>
    <w:p w:rsidR="00550F7E" w:rsidRPr="00550F7E" w:rsidP="00671A38" w14:paraId="5DC31497"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No Noteikumu 12. punkta izriet, ka AST būtu jāpārvieto energoapgādes objekti, proti jānojauc esošas būves un jāuzceļ aizvietojošas būves citā vietā, kas pēc tiesiskajām sekām rada īpašuma konfiskācijai pielīdzināmu  ietekmi uz AST vai caur elektroenerģijas</w:t>
      </w:r>
      <w:r w:rsidRPr="00550F7E">
        <w:rPr>
          <w:rFonts w:ascii="Times New Roman" w:hAnsi="Times New Roman" w:cs="Times New Roman"/>
          <w:sz w:val="24"/>
          <w:szCs w:val="24"/>
        </w:rPr>
        <w:t xml:space="preserve"> pārvades tarifa veidošanas mehānismu tiktu solidarizēta uz elektroenerģijas sistēmas lietotājiem. Tādejādi valsts publiskās lietošanas dzelzceļa infrastruktūras pārvaldītājam netieši ir piešķirtas vienpusējas tiesības rīkoties ar  </w:t>
      </w:r>
      <w:r w:rsidRPr="00550F7E">
        <w:rPr>
          <w:rFonts w:ascii="Times New Roman" w:hAnsi="Times New Roman" w:cs="Times New Roman"/>
          <w:sz w:val="24"/>
          <w:szCs w:val="24"/>
        </w:rPr>
        <w:t xml:space="preserve">energoapgādes objektiem </w:t>
      </w:r>
      <w:r w:rsidRPr="00550F7E">
        <w:rPr>
          <w:rFonts w:ascii="Times New Roman" w:hAnsi="Times New Roman" w:cs="Times New Roman"/>
          <w:sz w:val="24"/>
          <w:szCs w:val="24"/>
        </w:rPr>
        <w:t>sev izdevīgā veidā, nerēķinoties ar īpašuma aprobežojuma apmēru un sekām uz esošo īpašuma iekārtojumu.  Bez tam šīs tiesības publiskās lietošanas dzelzceļa infrastruktūras pārvaldītājs var izmantot, nesedzot nekādas energoapgādes objekta īpašnieka izmaksas</w:t>
      </w:r>
      <w:r w:rsidRPr="00550F7E">
        <w:rPr>
          <w:rFonts w:ascii="Times New Roman" w:hAnsi="Times New Roman" w:cs="Times New Roman"/>
          <w:sz w:val="24"/>
          <w:szCs w:val="24"/>
        </w:rPr>
        <w:t>. Būtiski, ka šādā gadījumā energoapgādes objekta īpašniekam tiek nodarīti ne tikai zaudējumi, bet arī netiek paredzēta kompensācija par energoapgādes objekta pārvietošanu un tiek traucēta tā normatīvajos aktos noteikto funkciju izpilde. Attiecīgi secināms</w:t>
      </w:r>
      <w:r w:rsidRPr="00550F7E">
        <w:rPr>
          <w:rFonts w:ascii="Times New Roman" w:hAnsi="Times New Roman" w:cs="Times New Roman"/>
          <w:sz w:val="24"/>
          <w:szCs w:val="24"/>
        </w:rPr>
        <w:t xml:space="preserve">, ka šāds īpašumtiesību ierobežojums nevar tikt uzskatīts par samērīgu. </w:t>
      </w:r>
    </w:p>
    <w:p w:rsidR="00550F7E" w:rsidRPr="00550F7E" w:rsidP="00671A38" w14:paraId="1FF9D600" w14:textId="5CAE7745">
      <w:pPr>
        <w:ind w:firstLine="720"/>
        <w:jc w:val="both"/>
        <w:rPr>
          <w:rFonts w:ascii="Times New Roman" w:hAnsi="Times New Roman" w:cs="Times New Roman"/>
          <w:sz w:val="24"/>
          <w:szCs w:val="24"/>
        </w:rPr>
      </w:pPr>
      <w:r w:rsidRPr="00550F7E">
        <w:rPr>
          <w:rFonts w:ascii="Times New Roman" w:hAnsi="Times New Roman" w:cs="Times New Roman"/>
          <w:sz w:val="24"/>
          <w:szCs w:val="24"/>
        </w:rPr>
        <w:t>Papildus pastāv risks, ka, pieņemot Noteikumu projekta 12. punktu, nebūs iespējams ievērot Satversmes 91. pantā noteikto vienlīdzības principu, no kura izriet likumdevēja pienākums li</w:t>
      </w:r>
      <w:r w:rsidRPr="00550F7E">
        <w:rPr>
          <w:rFonts w:ascii="Times New Roman" w:hAnsi="Times New Roman" w:cs="Times New Roman"/>
          <w:sz w:val="24"/>
          <w:szCs w:val="24"/>
        </w:rPr>
        <w:t>kumus pieņemt, paredz</w:t>
      </w:r>
      <w:r w:rsidR="009C0855">
        <w:rPr>
          <w:rFonts w:ascii="Times New Roman" w:hAnsi="Times New Roman" w:cs="Times New Roman"/>
          <w:sz w:val="24"/>
          <w:szCs w:val="24"/>
        </w:rPr>
        <w:t>ē</w:t>
      </w:r>
      <w:r w:rsidRPr="00550F7E">
        <w:rPr>
          <w:rFonts w:ascii="Times New Roman" w:hAnsi="Times New Roman" w:cs="Times New Roman"/>
          <w:sz w:val="24"/>
          <w:szCs w:val="24"/>
        </w:rPr>
        <w:t>t, ka vienādos apstākļos pret personām ir vienāda attieksme. Noteikumu projekta 12. punkta pieņemšana apdraudētu vienlīdzības principa ievērošanu, jo radītu nevienlīdzīgu priekšrocību noteiktas kategorijas zemes vai infrastruktūras īp</w:t>
      </w:r>
      <w:r w:rsidRPr="00550F7E">
        <w:rPr>
          <w:rFonts w:ascii="Times New Roman" w:hAnsi="Times New Roman" w:cs="Times New Roman"/>
          <w:sz w:val="24"/>
          <w:szCs w:val="24"/>
        </w:rPr>
        <w:t>ašniekiem neciest energoapgādes objektu izraisītu īpašuma apgrūtinājumu. Šāds tiesiskais regulējums būtu pretrunā iepriekš norādītajām Enerģētikas likuma normām, kurās likumdevējs īpašumtiesību apgrūtinājumu energoapgādes objekta īstenošanas gadījumā ir at</w:t>
      </w:r>
      <w:r w:rsidRPr="00550F7E">
        <w:rPr>
          <w:rFonts w:ascii="Times New Roman" w:hAnsi="Times New Roman" w:cs="Times New Roman"/>
          <w:sz w:val="24"/>
          <w:szCs w:val="24"/>
        </w:rPr>
        <w:t>tiecinājis uz jebkuru zemes, t.sk. inženiertehniskās infrastruktūras īpašnieku.</w:t>
      </w:r>
    </w:p>
    <w:p w:rsidR="00550F7E" w:rsidRPr="00550F7E" w:rsidP="00671A38" w14:paraId="4E937C1D" w14:textId="77777777">
      <w:pPr>
        <w:ind w:firstLine="720"/>
        <w:jc w:val="both"/>
        <w:rPr>
          <w:rFonts w:ascii="Times New Roman" w:hAnsi="Times New Roman" w:cs="Times New Roman"/>
          <w:sz w:val="24"/>
          <w:szCs w:val="24"/>
        </w:rPr>
      </w:pPr>
      <w:r w:rsidRPr="00550F7E">
        <w:rPr>
          <w:rFonts w:ascii="Times New Roman" w:hAnsi="Times New Roman" w:cs="Times New Roman"/>
          <w:sz w:val="24"/>
          <w:szCs w:val="24"/>
        </w:rPr>
        <w:t>Papildus AST vērš uzmanību uz Satversmes tiesas 2010.gada 6.decembra spriedumu lietā Nr.2010-25-01, kurā norādīts, ka no Latvijas Republikas Satversmes 1.pantā ietvertā demokrā</w:t>
      </w:r>
      <w:r w:rsidRPr="00550F7E">
        <w:rPr>
          <w:rFonts w:ascii="Times New Roman" w:hAnsi="Times New Roman" w:cs="Times New Roman"/>
          <w:sz w:val="24"/>
          <w:szCs w:val="24"/>
        </w:rPr>
        <w:t>tiskās republikas jēdziena izriet valsts pienākums savā darbībā ievērot tiesiskas valsts pamatprincipus, tostarp tiesiskās paļāvības principu. Tādēļ, grozot tiesisko regulējumu, valstij ir jāņem vērā tās tiesības, uz kuru saglabāšanu vai īstenošanu persona</w:t>
      </w:r>
      <w:r w:rsidRPr="00550F7E">
        <w:rPr>
          <w:rFonts w:ascii="Times New Roman" w:hAnsi="Times New Roman" w:cs="Times New Roman"/>
          <w:sz w:val="24"/>
          <w:szCs w:val="24"/>
        </w:rPr>
        <w:t>i var būt izveidojusies paļāvība. Tiesiskās paļāvības princips prasa, lai valsts, mainot normatīvo regulējumu, ievērotu saprātīgu līdzsvaru starp personas paļāvību un tām interesēm, kuru nodrošināšanas labad regulējums tiek mainīts.</w:t>
      </w:r>
    </w:p>
    <w:p w:rsidR="00550F7E" w:rsidRPr="00550F7E" w:rsidP="00671A38" w14:paraId="0B0D54A2" w14:textId="49EED030">
      <w:pPr>
        <w:ind w:firstLine="720"/>
        <w:jc w:val="both"/>
        <w:rPr>
          <w:rFonts w:ascii="Times New Roman" w:hAnsi="Times New Roman" w:cs="Times New Roman"/>
          <w:sz w:val="24"/>
          <w:szCs w:val="24"/>
        </w:rPr>
      </w:pPr>
      <w:r w:rsidRPr="00550F7E">
        <w:rPr>
          <w:rFonts w:ascii="Times New Roman" w:hAnsi="Times New Roman" w:cs="Times New Roman"/>
          <w:sz w:val="24"/>
          <w:szCs w:val="24"/>
        </w:rPr>
        <w:t>Ņemot vērā, ka Noteikum</w:t>
      </w:r>
      <w:r w:rsidRPr="00550F7E">
        <w:rPr>
          <w:rFonts w:ascii="Times New Roman" w:hAnsi="Times New Roman" w:cs="Times New Roman"/>
          <w:sz w:val="24"/>
          <w:szCs w:val="24"/>
        </w:rPr>
        <w:t xml:space="preserve">u projekta 12. punkts būs piemērojams arī attiecībā uz jau </w:t>
      </w:r>
      <w:r w:rsidR="009C0855">
        <w:rPr>
          <w:rFonts w:ascii="Times New Roman" w:hAnsi="Times New Roman" w:cs="Times New Roman"/>
          <w:sz w:val="24"/>
          <w:szCs w:val="24"/>
        </w:rPr>
        <w:t xml:space="preserve">dzelzceļa </w:t>
      </w:r>
      <w:r w:rsidRPr="00550F7E">
        <w:rPr>
          <w:rFonts w:ascii="Times New Roman" w:hAnsi="Times New Roman" w:cs="Times New Roman"/>
          <w:sz w:val="24"/>
          <w:szCs w:val="24"/>
        </w:rPr>
        <w:t>zemes nodalījuma joslā ierīkotiem objektiem, pieņemot šādu tiesisko regulējumu tiek pārkāpts tiesiskās paļāvības princips, kas izriet no Satversmes 1. panta, jo, ierīkojot energoapgādes o</w:t>
      </w:r>
      <w:r w:rsidRPr="00550F7E">
        <w:rPr>
          <w:rFonts w:ascii="Times New Roman" w:hAnsi="Times New Roman" w:cs="Times New Roman"/>
          <w:sz w:val="24"/>
          <w:szCs w:val="24"/>
        </w:rPr>
        <w:t>bjektus, publiskās lietošanas dzelzceļa infrastruktūras pārvaldītājam, nebija piešķirtas tiesības uzlikt par pienākumu attiecīgo objektu pārvietot par objekta īpašnieka līdzekļiem. Būtiski, ka šādas tiesiskā regulējuma izmaiņas ietekmēs ne tikai energoapgā</w:t>
      </w:r>
      <w:r w:rsidRPr="00550F7E">
        <w:rPr>
          <w:rFonts w:ascii="Times New Roman" w:hAnsi="Times New Roman" w:cs="Times New Roman"/>
          <w:sz w:val="24"/>
          <w:szCs w:val="24"/>
        </w:rPr>
        <w:t>des objektu īpašniekus, bet arī visus attiecīgo pakalpojumu  lietotājus, uz kuriem tiks attiecinātas pakalpojuma sniegšanas tarifa izmaiņas.</w:t>
      </w:r>
    </w:p>
    <w:p w:rsidR="00550F7E" w:rsidRPr="00F30C1C" w:rsidP="00671A38" w14:paraId="0B0E88EB" w14:textId="19747424">
      <w:pPr>
        <w:ind w:firstLine="720"/>
        <w:jc w:val="both"/>
        <w:rPr>
          <w:rFonts w:ascii="Times New Roman" w:hAnsi="Times New Roman" w:cs="Times New Roman"/>
          <w:sz w:val="24"/>
          <w:szCs w:val="24"/>
        </w:rPr>
      </w:pPr>
      <w:r w:rsidRPr="00550F7E">
        <w:rPr>
          <w:rFonts w:ascii="Times New Roman" w:hAnsi="Times New Roman" w:cs="Times New Roman"/>
          <w:sz w:val="24"/>
          <w:szCs w:val="24"/>
        </w:rPr>
        <w:t>Ņemot vērā, ka Noteikumu projekta 12.punkta piemērošana varētu negatīvi ietekmēt nacionālo interešu objektu eksplua</w:t>
      </w:r>
      <w:r w:rsidRPr="00550F7E">
        <w:rPr>
          <w:rFonts w:ascii="Times New Roman" w:hAnsi="Times New Roman" w:cs="Times New Roman"/>
          <w:sz w:val="24"/>
          <w:szCs w:val="24"/>
        </w:rPr>
        <w:t>tāciju, tā ir pretrunā ar Enerģētikas likuma, Aizsargjoslu likuma normām, kā arī rada Satversmē nostiprināto tiesību, tai skaitā tiesiskās paļāvības principa  potenciālu aizskārumu, AST lūdz izslēgt 12. punktu no Noteikumu projekta.</w:t>
      </w:r>
    </w:p>
    <w:p w:rsidR="00D413BB" w:rsidRPr="00F30C1C" w:rsidP="00710625" w14:paraId="1B2C4342" w14:textId="77777777">
      <w:pPr>
        <w:ind w:firstLine="709"/>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7"/>
        <w:gridCol w:w="5182"/>
      </w:tblGrid>
      <w:tr w14:paraId="1B2C4346" w14:textId="77777777" w:rsidTr="00F94C4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97" w:type="dxa"/>
          </w:tcPr>
          <w:p w:rsidR="005168A8" w:rsidRPr="00F30C1C" w14:paraId="1B2C4344" w14:textId="77777777">
            <w:pPr>
              <w:rPr>
                <w:rFonts w:ascii="Times New Roman" w:hAnsi="Times New Roman" w:cs="Times New Roman"/>
                <w:sz w:val="24"/>
                <w:szCs w:val="24"/>
              </w:rPr>
            </w:pPr>
            <w:r w:rsidRPr="00F30C1C">
              <w:rPr>
                <w:rFonts w:ascii="Times New Roman" w:hAnsi="Times New Roman" w:cs="Times New Roman"/>
                <w:sz w:val="24"/>
                <w:szCs w:val="24"/>
              </w:rPr>
              <w:t>Valdes loceklis</w:t>
            </w:r>
          </w:p>
        </w:tc>
        <w:tc>
          <w:tcPr>
            <w:tcW w:w="5182" w:type="dxa"/>
          </w:tcPr>
          <w:p w:rsidR="005168A8" w:rsidRPr="00F30C1C" w:rsidP="009129E7" w14:paraId="1B2C4345" w14:textId="77777777">
            <w:pPr>
              <w:spacing w:after="120"/>
              <w:jc w:val="right"/>
              <w:rPr>
                <w:rFonts w:ascii="Times New Roman" w:hAnsi="Times New Roman" w:cs="Times New Roman"/>
                <w:sz w:val="24"/>
                <w:szCs w:val="24"/>
              </w:rPr>
            </w:pPr>
            <w:r w:rsidRPr="00F30C1C">
              <w:rPr>
                <w:rFonts w:ascii="Times New Roman" w:hAnsi="Times New Roman" w:cs="Times New Roman"/>
                <w:sz w:val="24"/>
                <w:szCs w:val="24"/>
              </w:rPr>
              <w:t>Imants</w:t>
            </w:r>
            <w:r w:rsidRPr="00F30C1C">
              <w:rPr>
                <w:rFonts w:ascii="Times New Roman" w:hAnsi="Times New Roman" w:cs="Times New Roman"/>
                <w:sz w:val="24"/>
                <w:szCs w:val="24"/>
              </w:rPr>
              <w:t xml:space="preserve"> </w:t>
            </w:r>
            <w:r w:rsidRPr="00F30C1C">
              <w:rPr>
                <w:rFonts w:ascii="Times New Roman" w:hAnsi="Times New Roman" w:cs="Times New Roman"/>
                <w:sz w:val="24"/>
                <w:szCs w:val="24"/>
              </w:rPr>
              <w:t>Zviedris</w:t>
            </w:r>
          </w:p>
        </w:tc>
      </w:tr>
      <w:tr w14:paraId="5ECC6CEB" w14:textId="77777777" w:rsidTr="00F94C42">
        <w:tblPrEx>
          <w:tblW w:w="0" w:type="auto"/>
          <w:tblLook w:val="04A0"/>
        </w:tblPrEx>
        <w:tc>
          <w:tcPr>
            <w:tcW w:w="3297" w:type="dxa"/>
          </w:tcPr>
          <w:p w:rsidR="00F94C42" w:rsidRPr="00F30C1C" w14:paraId="11CF89FB" w14:textId="43D50F98">
            <w:pPr>
              <w:rPr>
                <w:rFonts w:ascii="Times New Roman" w:hAnsi="Times New Roman" w:cs="Times New Roman"/>
                <w:sz w:val="24"/>
                <w:szCs w:val="24"/>
              </w:rPr>
            </w:pPr>
            <w:r>
              <w:rPr>
                <w:rFonts w:ascii="Times New Roman" w:hAnsi="Times New Roman" w:cs="Times New Roman"/>
                <w:sz w:val="24"/>
                <w:szCs w:val="24"/>
              </w:rPr>
              <w:t>Valdes loceklis</w:t>
            </w:r>
          </w:p>
        </w:tc>
        <w:tc>
          <w:tcPr>
            <w:tcW w:w="5182" w:type="dxa"/>
          </w:tcPr>
          <w:p w:rsidR="00F94C42" w:rsidRPr="00F30C1C" w:rsidP="00F94C42" w14:paraId="61ED11B0" w14:textId="5A62B664">
            <w:pPr>
              <w:jc w:val="right"/>
              <w:rPr>
                <w:rFonts w:ascii="Times New Roman" w:hAnsi="Times New Roman" w:cs="Times New Roman"/>
                <w:sz w:val="24"/>
                <w:szCs w:val="24"/>
              </w:rPr>
            </w:pPr>
            <w:r>
              <w:rPr>
                <w:rFonts w:ascii="Times New Roman" w:hAnsi="Times New Roman" w:cs="Times New Roman"/>
                <w:sz w:val="24"/>
                <w:szCs w:val="24"/>
              </w:rPr>
              <w:t>Arnis</w:t>
            </w:r>
            <w:r w:rsidRPr="00F30C1C">
              <w:rPr>
                <w:rFonts w:ascii="Times New Roman" w:hAnsi="Times New Roman" w:cs="Times New Roman"/>
                <w:sz w:val="24"/>
                <w:szCs w:val="24"/>
              </w:rPr>
              <w:t xml:space="preserve"> </w:t>
            </w:r>
            <w:r w:rsidRPr="00F30C1C">
              <w:rPr>
                <w:rFonts w:ascii="Times New Roman" w:hAnsi="Times New Roman" w:cs="Times New Roman"/>
                <w:sz w:val="24"/>
                <w:szCs w:val="24"/>
              </w:rPr>
              <w:t>Daugulis</w:t>
            </w:r>
          </w:p>
        </w:tc>
      </w:tr>
    </w:tbl>
    <w:p w:rsidR="00A27D87" w:rsidRPr="003F1098" w:rsidP="00736403" w14:paraId="1B2C4349" w14:textId="3EC1F8A4">
      <w:pPr>
        <w:rPr>
          <w:rFonts w:ascii="Times New Roman" w:hAnsi="Times New Roman" w:cs="Times New Roman"/>
          <w:sz w:val="20"/>
          <w:szCs w:val="20"/>
        </w:rPr>
      </w:pPr>
    </w:p>
    <w:sectPr w:rsidSect="00122FA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7C5E" w14:paraId="2AA589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5610224"/>
      <w:docPartObj>
        <w:docPartGallery w:val="Page Numbers (Bottom of Page)"/>
        <w:docPartUnique/>
      </w:docPartObj>
    </w:sdtPr>
    <w:sdtEndPr>
      <w:rPr>
        <w:rFonts w:ascii="Times New Roman" w:hAnsi="Times New Roman" w:cs="Times New Roman"/>
        <w:noProof/>
      </w:rPr>
    </w:sdtEndPr>
    <w:sdtContent>
      <w:p w:rsidR="002E38C2" w:rsidRPr="00A41BEB" w14:paraId="11B66FCA" w14:textId="421ADBFE">
        <w:pPr>
          <w:pStyle w:val="Footer"/>
          <w:jc w:val="right"/>
          <w:rPr>
            <w:rFonts w:ascii="Times New Roman" w:hAnsi="Times New Roman" w:cs="Times New Roman"/>
          </w:rPr>
        </w:pPr>
        <w:r w:rsidRPr="00A41BEB">
          <w:rPr>
            <w:rFonts w:ascii="Times New Roman" w:hAnsi="Times New Roman" w:cs="Times New Roman"/>
          </w:rPr>
          <w:fldChar w:fldCharType="begin"/>
        </w:r>
        <w:r w:rsidRPr="00A41BEB">
          <w:rPr>
            <w:rFonts w:ascii="Times New Roman" w:hAnsi="Times New Roman" w:cs="Times New Roman"/>
          </w:rPr>
          <w:instrText xml:space="preserve"> PAGE   \* MERGEFORMAT </w:instrText>
        </w:r>
        <w:r w:rsidRPr="00A41BEB">
          <w:rPr>
            <w:rFonts w:ascii="Times New Roman" w:hAnsi="Times New Roman" w:cs="Times New Roman"/>
          </w:rPr>
          <w:fldChar w:fldCharType="separate"/>
        </w:r>
        <w:r w:rsidR="00A41BEB">
          <w:rPr>
            <w:rFonts w:ascii="Times New Roman" w:hAnsi="Times New Roman" w:cs="Times New Roman"/>
            <w:noProof/>
          </w:rPr>
          <w:t>2</w:t>
        </w:r>
        <w:r w:rsidRPr="00A41BEB">
          <w:rPr>
            <w:rFonts w:ascii="Times New Roman" w:hAnsi="Times New Roman" w:cs="Times New Roman"/>
            <w:noProof/>
          </w:rPr>
          <w:fldChar w:fldCharType="end"/>
        </w:r>
      </w:p>
    </w:sdtContent>
  </w:sdt>
  <w:p w:rsidR="00A16205" w:rsidP="00A16205" w14:paraId="1B2C4350" w14:textId="77777777">
    <w:pPr>
      <w:pStyle w:val="Footer"/>
      <w:jc w:val="center"/>
    </w:pPr>
  </w:p>
  <w:p>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DE5" w14:paraId="1B2C4353" w14:textId="0B52D9D3">
    <w:pPr>
      <w:pStyle w:val="Footer"/>
    </w:pPr>
    <w:r>
      <w:rPr>
        <w:noProof/>
      </w:rPr>
      <w:drawing>
        <wp:anchor distT="0" distB="0" distL="114300" distR="114300" simplePos="0" relativeHeight="251659264" behindDoc="0" locked="0" layoutInCell="1" allowOverlap="1">
          <wp:simplePos x="0" y="0"/>
          <wp:positionH relativeFrom="column">
            <wp:posOffset>5270500</wp:posOffset>
          </wp:positionH>
          <wp:positionV relativeFrom="paragraph">
            <wp:posOffset>-309880</wp:posOffset>
          </wp:positionV>
          <wp:extent cx="725805" cy="717550"/>
          <wp:effectExtent l="0" t="0" r="0" b="635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294201514"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5805" cy="717550"/>
                  </a:xfrm>
                  <a:prstGeom prst="rect">
                    <a:avLst/>
                  </a:prstGeom>
                </pic:spPr>
              </pic:pic>
            </a:graphicData>
          </a:graphic>
          <wp14:sizeRelH relativeFrom="page">
            <wp14:pctWidth>0</wp14:pctWidth>
          </wp14:sizeRelH>
          <wp14:sizeRelV relativeFrom="page">
            <wp14:pctHeight>0</wp14:pctHeight>
          </wp14:sizeRelV>
        </wp:anchor>
      </w:drawing>
    </w:r>
  </w:p>
  <w:p>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7C5E" w14:paraId="1D0234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7C5E" w14:paraId="7979EE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2FA1" w:rsidP="00122FA1" w14:paraId="1B2C4351" w14:textId="77777777">
    <w:pPr>
      <w:pStyle w:val="Header"/>
    </w:pPr>
    <w:r>
      <w:rPr>
        <w:noProof/>
        <w:lang w:eastAsia="lv-LV"/>
      </w:rPr>
      <w:drawing>
        <wp:anchor distT="0" distB="0" distL="114300" distR="114300" simplePos="0" relativeHeight="251660288" behindDoc="0" locked="0" layoutInCell="1" allowOverlap="1">
          <wp:simplePos x="0" y="0"/>
          <wp:positionH relativeFrom="column">
            <wp:posOffset>1971675</wp:posOffset>
          </wp:positionH>
          <wp:positionV relativeFrom="paragraph">
            <wp:posOffset>245745</wp:posOffset>
          </wp:positionV>
          <wp:extent cx="3800475" cy="409575"/>
          <wp:effectExtent l="0" t="0" r="9525" b="9525"/>
          <wp:wrapNone/>
          <wp:docPr id="12" name="Picture 12" descr="C:\Users\Austris\Desktop\ast-ultimate-assets-pack-for-letter\veidlapa-rekvizi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58081" name="Picture 5" descr="C:\Users\Austris\Desktop\ast-ultimate-assets-pack-for-letter\veidlapa-rekviziti.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00475" cy="409575"/>
                  </a:xfrm>
                  <a:prstGeom prst="rect">
                    <a:avLst/>
                  </a:prstGeom>
                  <a:noFill/>
                  <a:ln>
                    <a:noFill/>
                  </a:ln>
                </pic:spPr>
              </pic:pic>
            </a:graphicData>
          </a:graphic>
        </wp:anchor>
      </w:drawing>
    </w:r>
    <w:r>
      <w:rPr>
        <w:noProof/>
        <w:lang w:eastAsia="lv-LV"/>
      </w:rPr>
      <w:drawing>
        <wp:anchor distT="0" distB="0" distL="114300" distR="114300" simplePos="0" relativeHeight="251658240" behindDoc="1" locked="0" layoutInCell="1" allowOverlap="1">
          <wp:simplePos x="0" y="0"/>
          <wp:positionH relativeFrom="column">
            <wp:posOffset>-19050</wp:posOffset>
          </wp:positionH>
          <wp:positionV relativeFrom="paragraph">
            <wp:posOffset>245745</wp:posOffset>
          </wp:positionV>
          <wp:extent cx="857250" cy="381000"/>
          <wp:effectExtent l="0" t="0" r="0" b="0"/>
          <wp:wrapThrough wrapText="bothSides">
            <wp:wrapPolygon>
              <wp:start x="0" y="0"/>
              <wp:lineTo x="0" y="20520"/>
              <wp:lineTo x="21120" y="20520"/>
              <wp:lineTo x="21120" y="0"/>
              <wp:lineTo x="0" y="0"/>
            </wp:wrapPolygon>
          </wp:wrapThrough>
          <wp:docPr id="13" name="Picture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732827" name="Picture 3" descr="C:\Users\Austris\Desktop\ast-ultimate-assets-pack-for-letter\veidlapa-logo.png"/>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anchor>
      </w:drawing>
    </w:r>
  </w:p>
  <w:p w:rsidR="00122FA1" w14:paraId="1B2C435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A2789"/>
    <w:rsid w:val="000C1F49"/>
    <w:rsid w:val="000F7C06"/>
    <w:rsid w:val="00122FA1"/>
    <w:rsid w:val="00134B2B"/>
    <w:rsid w:val="001419F0"/>
    <w:rsid w:val="00186038"/>
    <w:rsid w:val="0019530A"/>
    <w:rsid w:val="002853E5"/>
    <w:rsid w:val="002933B6"/>
    <w:rsid w:val="00296246"/>
    <w:rsid w:val="002D6840"/>
    <w:rsid w:val="002E38C2"/>
    <w:rsid w:val="00347C5E"/>
    <w:rsid w:val="003F0D3D"/>
    <w:rsid w:val="003F1098"/>
    <w:rsid w:val="00402285"/>
    <w:rsid w:val="00405AA8"/>
    <w:rsid w:val="00456702"/>
    <w:rsid w:val="00491227"/>
    <w:rsid w:val="0049592D"/>
    <w:rsid w:val="00496EC9"/>
    <w:rsid w:val="004A2789"/>
    <w:rsid w:val="004B5FB9"/>
    <w:rsid w:val="004D0B75"/>
    <w:rsid w:val="005168A8"/>
    <w:rsid w:val="0053590D"/>
    <w:rsid w:val="00550F7E"/>
    <w:rsid w:val="00593DB3"/>
    <w:rsid w:val="00612498"/>
    <w:rsid w:val="00661266"/>
    <w:rsid w:val="00671A38"/>
    <w:rsid w:val="006A674D"/>
    <w:rsid w:val="006F0730"/>
    <w:rsid w:val="00710625"/>
    <w:rsid w:val="0071701B"/>
    <w:rsid w:val="00736403"/>
    <w:rsid w:val="00772C36"/>
    <w:rsid w:val="00786B1F"/>
    <w:rsid w:val="007A0EDB"/>
    <w:rsid w:val="007D1D37"/>
    <w:rsid w:val="0086748C"/>
    <w:rsid w:val="00895ADD"/>
    <w:rsid w:val="008E0403"/>
    <w:rsid w:val="008E418B"/>
    <w:rsid w:val="008F6270"/>
    <w:rsid w:val="009129E7"/>
    <w:rsid w:val="0093660A"/>
    <w:rsid w:val="00940CAD"/>
    <w:rsid w:val="00962560"/>
    <w:rsid w:val="00981EE7"/>
    <w:rsid w:val="009B708F"/>
    <w:rsid w:val="009C0855"/>
    <w:rsid w:val="00A16205"/>
    <w:rsid w:val="00A27D87"/>
    <w:rsid w:val="00A41BEB"/>
    <w:rsid w:val="00A44AC9"/>
    <w:rsid w:val="00A90268"/>
    <w:rsid w:val="00AE0935"/>
    <w:rsid w:val="00B12680"/>
    <w:rsid w:val="00B478D0"/>
    <w:rsid w:val="00C4011F"/>
    <w:rsid w:val="00C63DF0"/>
    <w:rsid w:val="00CA5093"/>
    <w:rsid w:val="00CB59A3"/>
    <w:rsid w:val="00CC1723"/>
    <w:rsid w:val="00CD00D9"/>
    <w:rsid w:val="00CD7CF0"/>
    <w:rsid w:val="00D01692"/>
    <w:rsid w:val="00D06331"/>
    <w:rsid w:val="00D413BB"/>
    <w:rsid w:val="00D52DE5"/>
    <w:rsid w:val="00EF05EA"/>
    <w:rsid w:val="00F30C1C"/>
    <w:rsid w:val="00F94C42"/>
    <w:rsid w:val="00FA14F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31BB3D80-2D36-4903-A8F7-03173D81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2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2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205"/>
  </w:style>
  <w:style w:type="paragraph" w:styleId="Footer">
    <w:name w:val="footer"/>
    <w:basedOn w:val="Normal"/>
    <w:link w:val="FooterChar"/>
    <w:uiPriority w:val="99"/>
    <w:unhideWhenUsed/>
    <w:rsid w:val="00A162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3.xml.rels>&#65279;<?xml version="1.0" encoding="utf-8" standalone="yes"?><Relationships xmlns="http://schemas.openxmlformats.org/package/2006/relationships"><Relationship Id="rId1"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78C1CBE7C33D840872E4E139A2264C3" ma:contentTypeVersion="3" ma:contentTypeDescription="Izveidot jaunu dokumentu." ma:contentTypeScope="" ma:versionID="80fc617f33ba05894469878a8c414181">
  <xsd:schema xmlns:xsd="http://www.w3.org/2001/XMLSchema" xmlns:xs="http://www.w3.org/2001/XMLSchema" xmlns:p="http://schemas.microsoft.com/office/2006/metadata/properties" xmlns:ns2="3c56c783-db32-497d-9541-9cb6dd1c62b3" targetNamespace="http://schemas.microsoft.com/office/2006/metadata/properties" ma:root="true" ma:fieldsID="6700bde40839ef2e00596398fd265450" ns2:_="">
    <xsd:import namespace="3c56c783-db32-497d-9541-9cb6dd1c62b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c783-db32-497d-9541-9cb6dd1c62b3" elementFormDefault="qualified">
    <xsd:import namespace="http://schemas.microsoft.com/office/2006/documentManagement/types"/>
    <xsd:import namespace="http://schemas.microsoft.com/office/infopath/2007/PartnerControls"/>
    <xsd:element name="SharedWithUsers" ma:index="8" nillable="true" ma:displayName="Koplietots a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Satura tips"/>
        <xsd:element ref="dc:title" minOccurs="0" maxOccurs="1" ma:index="3"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2DEBC7-D56F-4823-A4C9-4B6CBCE04D8A}">
  <ds:schemaRefs>
    <ds:schemaRef ds:uri="http://schemas.microsoft.com/sharepoint/v3/contenttype/forms"/>
  </ds:schemaRefs>
</ds:datastoreItem>
</file>

<file path=customXml/itemProps2.xml><?xml version="1.0" encoding="utf-8"?>
<ds:datastoreItem xmlns:ds="http://schemas.openxmlformats.org/officeDocument/2006/customXml" ds:itemID="{FB5B92F3-969D-46A6-B521-F3301B5301BC}">
  <ds:schemaRefs>
    <ds:schemaRef ds:uri="3c56c783-db32-497d-9541-9cb6dd1c62b3"/>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8E77C8D-2E2C-41E8-8C15-A2859952D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c783-db32-497d-9541-9cb6dd1c6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7457</Words>
  <Characters>4251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Evita Kusiņa</cp:lastModifiedBy>
  <cp:revision>11</cp:revision>
  <dcterms:created xsi:type="dcterms:W3CDTF">2018-04-26T07:32:00Z</dcterms:created>
  <dcterms:modified xsi:type="dcterms:W3CDTF">2023-04-24T11:15:00Z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0x010100D78C1CBE7C33D840872E4E139A2264C3</vt:lpwstr>
  </property>
  <property fmtid="{D5CDD505-2E9C-101B-9397-08002B2CF9AE}" pid="4" name="MSIP_Label_66cffd26-8a8e-4271-ae8c-0448cc98c6fa_ActionId">
    <vt:lpwstr>dd9900fe-1dce-4210-8aae-dc887fd4c5ac</vt:lpwstr>
  </property>
  <property fmtid="{D5CDD505-2E9C-101B-9397-08002B2CF9AE}" pid="5" name="MSIP_Label_66cffd26-8a8e-4271-ae8c-0448cc98c6fa_ContentBits">
    <vt:lpwstr>0</vt:lpwstr>
  </property>
  <property fmtid="{D5CDD505-2E9C-101B-9397-08002B2CF9AE}" pid="6" name="MSIP_Label_66cffd26-8a8e-4271-ae8c-0448cc98c6fa_Enabled">
    <vt:lpwstr>true</vt:lpwstr>
  </property>
  <property fmtid="{D5CDD505-2E9C-101B-9397-08002B2CF9AE}" pid="7" name="MSIP_Label_66cffd26-8a8e-4271-ae8c-0448cc98c6fa_Method">
    <vt:lpwstr>Standard</vt:lpwstr>
  </property>
  <property fmtid="{D5CDD505-2E9C-101B-9397-08002B2CF9AE}" pid="8" name="MSIP_Label_66cffd26-8a8e-4271-ae8c-0448cc98c6fa_Name">
    <vt:lpwstr>AST dokumenti</vt:lpwstr>
  </property>
  <property fmtid="{D5CDD505-2E9C-101B-9397-08002B2CF9AE}" pid="9" name="MSIP_Label_66cffd26-8a8e-4271-ae8c-0448cc98c6fa_SetDate">
    <vt:lpwstr>2023-04-24T09:27:00Z</vt:lpwstr>
  </property>
  <property fmtid="{D5CDD505-2E9C-101B-9397-08002B2CF9AE}" pid="10" name="MSIP_Label_66cffd26-8a8e-4271-ae8c-0448cc98c6fa_SiteId">
    <vt:lpwstr>c4c0dd7c-1dfb-4088-9303-96b608da35b3</vt:lpwstr>
  </property>
  <property fmtid="{D5CDD505-2E9C-101B-9397-08002B2CF9AE}" pid="11" name="Order">
    <vt:r8>162200</vt:r8>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ies>
</file>