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23-TA-358: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anotācijā piedāvāts likumprojekta “Grozījumu Enerģētikas likumā” (Likumprojekts) satversmības vērtējums, Tieslietu ministrijas ieskatā Likumprojekta anotācijā tomēr vēl trūkst izvērtējums par iespējām ieviest alternatīvus risinājumus pastāvošajai problēmai, kā arī trūkst izvērtējums par to, kā piedāvātie grozījumi ietekmē un kā samazina tieiši privātpersonu tiesības un cik tas ir samērīgi (Likumprojekta pamatotība vērtēta vairāk no energoapgādes komersanta skata punkta, vienlaikus, cik noprotams, privātpersonu tiesību samazinājums atsevišķos gadījumos varētu pārsniegt 20%).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valsts poltika, pamatojoties tikai uz to, ka komersantam ir grūtības veikt kādu darbību, kas ir svarīga arī sabiedrībai, nevar būt tāda, ka visos gadījumos risinājumi rodami tieši uz privātpersonu tiesību rēķina, līdz ar ko aicinām papildināt anotāciju ar lūgto izvērtējumu.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10.05.2023.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10.05.2023.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Atzinumi_23-TA-358.docx</dc:title>
</cp:coreProperties>
</file>

<file path=docProps/custom.xml><?xml version="1.0" encoding="utf-8"?>
<Properties xmlns="http://schemas.openxmlformats.org/officeDocument/2006/custom-properties" xmlns:vt="http://schemas.openxmlformats.org/officeDocument/2006/docPropsVTypes"/>
</file>