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25-TA-1113: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Ostas pārvaldei tās valdījumā nodotā teritorijā ir tiesības juridiskajām un fiziskajām personām piederošo ostas zemi apgrūtināt ar sev nepieciešamo servitūtu. Servitūtu nodibina uz līguma pamata. Ja juridiskā vai fiziskā persona (zemes īpašnieks) un ostas pārvalde nevar vienoties, ostas pārvaldei ir tiesības ierakstīt zemesgrāmatā servitūtu bez zemes īpašnieka piekrišanas. Par servitūta nodibināšanu ostas pārvalde zemes īpašniekam maksā atlīdzību. Atlīdzība nav augstāka par pieciem procentiem no zemes kadastrālās vērtības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Likumprojektā "Grozījumi Ostu likumā" noteikts, ka ostas pārvalde zemes īpašniekam maksā atlīdzību par servitūta nodibināšanu, un zemes īpašnieks potenciāli varētu būt arī saimnieciskās darbības veicējs, lai nodrošinātu, ka atlīdzība netiktu uzskatīta par komercdarbības atbalstu, lūdzam noteikt, ka atlīdzības apmērs ne vien nav augstāks par pieciem procentiem no zemes kadastrālās vērtības gadā, bet arī vienlaikus nav augstāks par zemes tirgus vērtību, ko nosaka saskaņā ar neatkarīga vērtētāja 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Valstij, pašvaldībai un ostas pārvaldei ir tiesības savstarpēji mainīt tām piederošos nekustamos īpašumus, ievērojot Publiskas personas mantas atsavināšanas likuma un citu normatīvo aktu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4.pantu ar desmito daļu, kas nosaka, ka </w:t>
            </w:r>
            <w:r w:rsidR="00000000" w:rsidRPr="00000000" w:rsidDel="00000000">
              <w:rPr>
                <w:b w:val="1"/>
                <w:i w:val="1"/>
                <w:u w:val="single"/>
                <w:rtl w:val="0"/>
              </w:rPr>
              <w:t xml:space="preserve">valstij, pašvaldībai un ostas pārvaldei </w:t>
            </w:r>
            <w:r w:rsidR="00000000" w:rsidRPr="00000000" w:rsidDel="00000000">
              <w:rPr>
                <w:i w:val="1"/>
                <w:rtl w:val="0"/>
              </w:rPr>
              <w:t xml:space="preserve">ir tiesības savstarpēji mainīt tam piederošos nekustamos īpašumus, ievērojot Publiskas personas mantas atsavināšanas likuma un citu normatīvo aktu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anotācijā norādīts, ka: " </w:t>
            </w:r>
            <w:r w:rsidR="00000000" w:rsidRPr="00000000" w:rsidDel="00000000">
              <w:rPr>
                <w:i w:val="1"/>
                <w:rtl w:val="0"/>
              </w:rPr>
              <w:t xml:space="preserve">Tā kā ostas teritorijā ir ostu pārvaldei, pašvaldībai un valstij piederošs īpašums, t</w:t>
            </w:r>
            <w:r w:rsidR="00000000" w:rsidRPr="00000000" w:rsidDel="00000000">
              <w:rPr>
                <w:i w:val="1"/>
                <w:u w:val="single"/>
                <w:rtl w:val="0"/>
              </w:rPr>
              <w:t xml:space="preserve">ad būs atļauta arī </w:t>
            </w:r>
            <w:r w:rsidR="00000000" w:rsidRPr="00000000" w:rsidDel="00000000">
              <w:rPr>
                <w:b w:val="1"/>
                <w:i w:val="1"/>
                <w:u w:val="single"/>
                <w:rtl w:val="0"/>
              </w:rPr>
              <w:t xml:space="preserve">pašvaldībai un ostas pārvaldei</w:t>
            </w:r>
            <w:r w:rsidR="00000000" w:rsidRPr="00000000" w:rsidDel="00000000">
              <w:rPr>
                <w:i w:val="1"/>
                <w:u w:val="single"/>
                <w:rtl w:val="0"/>
              </w:rPr>
              <w:t xml:space="preserve"> piederoša īpašuma savstarpēja apmaiņa</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piedāvātā norma atšķiras no likumprojekta anotācijā sniegtā skaidrojuma, lūdzam salāgot likumprojekta normu ar anotācija norādīto informāciju, t.i., starp ko būs atļauti maiņas darījumi šajā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anotācijā norādīts, ka "</w:t>
            </w:r>
            <w:r w:rsidR="00000000" w:rsidRPr="00000000" w:rsidDel="00000000">
              <w:rPr>
                <w:i w:val="1"/>
                <w:rtl w:val="0"/>
              </w:rPr>
              <w:t xml:space="preserve">ostas teritorija ostas pārvaldes funkciju veikšanai, kas tiks nodota ostas pārvaldei valdījumā, būs īpaši paredzēta ostas pamatdarbības nodrošināšanai. Šajā teritorijā valsts un pašvaldību zemes un cita nekustamā īpašuma atsavināšana trešajām personām nebūs iespējama.</w:t>
            </w:r>
            <w:r w:rsidR="00000000" w:rsidRPr="00000000" w:rsidDel="00000000">
              <w:rPr>
                <w:i w:val="1"/>
                <w:u w:val="single"/>
                <w:rtl w:val="0"/>
              </w:rPr>
              <w:t xml:space="preserve"> Īpašumu </w:t>
            </w:r>
            <w:r w:rsidR="00000000" w:rsidRPr="00000000" w:rsidDel="00000000">
              <w:rPr>
                <w:b w:val="1"/>
                <w:i w:val="1"/>
                <w:u w:val="single"/>
                <w:rtl w:val="0"/>
              </w:rPr>
              <w:t xml:space="preserve">atsavināšanas darījumi varēs notikt tikai </w:t>
            </w:r>
            <w:r w:rsidR="00000000" w:rsidRPr="00000000" w:rsidDel="00000000">
              <w:rPr>
                <w:i w:val="1"/>
                <w:u w:val="single"/>
                <w:rtl w:val="0"/>
              </w:rPr>
              <w:t xml:space="preserve">starp valsti un pašvaldību bez atlīdzības." </w:t>
            </w:r>
            <w:r w:rsidR="00000000" w:rsidRPr="00000000" w:rsidDel="00000000">
              <w:rPr>
                <w:rtl w:val="0"/>
              </w:rPr>
              <w:t xml:space="preserve">Tai pat laikā, anotācijā arī norādīts, "</w:t>
            </w:r>
            <w:r w:rsidR="00000000" w:rsidRPr="00000000" w:rsidDel="00000000">
              <w:rPr>
                <w:i w:val="1"/>
                <w:u w:val="single"/>
                <w:rtl w:val="0"/>
              </w:rPr>
              <w:t xml:space="preserve">ka šajā teritorijā būs atļauta arī pašvaldībai un ostas pārvaldei piederoša īpašuma savstarpēja </w:t>
            </w:r>
            <w:r w:rsidR="00000000" w:rsidRPr="00000000" w:rsidDel="00000000">
              <w:rPr>
                <w:b w:val="1"/>
                <w:i w:val="1"/>
                <w:u w:val="single"/>
                <w:rtl w:val="0"/>
              </w:rPr>
              <w:t xml:space="preserve">apmaiņa.</w:t>
            </w:r>
            <w:r w:rsidR="00000000" w:rsidRPr="00000000" w:rsidDel="00000000">
              <w:rPr>
                <w:i w:val="1"/>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nekustamā īpašuma atsavināšana  ietver gan nekustamā īpašuma nodošanu bez atlīdzības, gan nekustamā īpašuma maiņu. Līdz ar to lūdzam kopumā pārskatīt anotācijā sniegto informāciju par atsavināšanas iespējām ostas teritorijā ( starp ko un kādi atsavināšanas darījumi šajā teritorijā tiek paredzēti).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arī par šajā normā norādītajiem citiem normatīvajiem aktiem, t.i., kādi citi normatīvie akti šajā daļā ir domāti/ paredzēti.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nodrošina ostas padomes pieņemto lēmumu izpildi un regulāru padomes informēšanu par ostas operatīvo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nodrošina kuģu ceļu padziļināšanu un uzturēšanu.”;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"kuģu ceļu padziļināšanas" darbības ne vienmēr var tikt uzskatītas par valsts pārvaldes funkciju veikšanu, piemēram, atbilstoši Eiropas Komisijas paziņojuma par Līguma par Eiropas Savienības darbību 107. panta 1. punktā minēto valsts atbalsta jēdzienu (2016/C 262/01) 17. punkta c) apakšpunktā noteiktajam. Attiecīgi lūdzam anotāciju papildināt ar skaidrojumu, ka pirms atbalsta piešķiršanas šīs darbības veikšanai tiks veikts izvērtējums komercdarbības atbalsta kontekstā, vai piešķirtais atbalsts kuģu ceļu padziļināšanai ir/nav saistīts ar saimnieciskās darbības veikšanai nepieciešamās infrastruktūras uzlabošanu un vai tas kvalificējas/nekvalificējas kā komercdarbības atbalsts. Attiecībā uz to, ka kuģu ceļu padziļināšana var būt saistīta ar ostas saimniecisko darbību, lūdzam skatīt arī Eiropas Komisijas argumentāciju valsts atbalsta lietas Nr. SA.41734 (2015/NN) - Latvia Dredging of the Port of Liepaja, 39.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pants. Ostas padome un izpildaparāts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Ostas padomes un ostas pārvaldnieka tiesības un pienākumus nosaka ostas pārvaldes nolikums.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pārvaldes sastāvā ir ostas padome, kā pārraudzības institūcija, un izpildaparāts, kuru vada ostas pārvaldnieks.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Ostas padomē ir četri locekļi: divi valsts interešu pārstāvji, kurus nominē ekonomikas un satiksmes ministri, un divi pašvaldības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padomes priekšsēdētājs ir satiksmes ministra nominētais pārstāvis, kuram ir izšķirošā balss gadījumos, ja balsu skaits dalās vienādās 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padome pieņem lēmumus par ostas finanšu plānu, ostu maksu un pakalpojumu tarifu noteikšanu, ilgtermiņa attīstības plānu un nekustamā īpašuma atsavināšanas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Visu ostas padomes locekļu vienbalsīgs lēmums nepieciešams, lai apstiprinātu ostas attīstības stratēģiju vidējam termiņam, ostas budžetu kārtējām gadam, vidēja termiņa budžetu un to grozījumus, noteiktu sasniedzamos rezultatīvos rādītājus un mērķus kārtējam gadam, un darījumiem, kas ietekmē ostas vidēja termiņa darbības stratēģijā noteikto aktīvu apjomu vismaz par 15 procentiem un nav paredzēts vidēja termiņa darbības stratēģijā.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Ostas padomes locekļus, ministrija kas tos nominē, atlasa atklātā konkursā, un amatā uz pieciem gadiem ieceļ un atceļ Ministru kabinets. Ministram vai pašvaldībai, kura deleģējusi padomes locekli, ir tiesības atsaukt to no pienākumu pildīšanas.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pārvaldnieku atklātā konkursā atlasa un amatā uz pieciem gadiem ieceļ un atbrīvo ostas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viena no ostas padomes kompetencēm būs pieņemt lēmumus par nekustamā īpašuma atsavināšanas jautājumiem. Turklāt, anotācijā norādīts, ka </w:t>
            </w:r>
            <w:r w:rsidR="00000000" w:rsidRPr="00000000" w:rsidDel="00000000">
              <w:rPr>
                <w:i w:val="1"/>
                <w:u w:val="single"/>
                <w:rtl w:val="0"/>
              </w:rPr>
              <w:t xml:space="preserve">ostas padome būs </w:t>
            </w:r>
            <w:r w:rsidR="00000000" w:rsidRPr="00000000" w:rsidDel="00000000">
              <w:rPr>
                <w:i w:val="1"/>
                <w:rtl w:val="0"/>
              </w:rPr>
              <w:t xml:space="preserve">atbildīga par nekustamā īpašuma atsavināšanas jautājumiem </w:t>
            </w:r>
            <w:r w:rsidR="00000000" w:rsidRPr="00000000" w:rsidDel="00000000">
              <w:rPr>
                <w:i w:val="1"/>
                <w:u w:val="single"/>
                <w:rtl w:val="0"/>
              </w:rPr>
              <w:t xml:space="preserve">ostas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kurš lems par nekustamā īpašuma atsavināšanu ostas teritorijas daļā, kas nav nodota ostas pārvaldes valdījumā, t.i., tā būs ostas pārvalde vai nekustamā īpašuma īpašnieks.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2</w:t>
            </w:r>
            <w:r w:rsidR="00000000" w:rsidRPr="00000000" w:rsidDel="00000000">
              <w:rPr>
                <w:rtl w:val="0"/>
              </w:rPr>
              <w:t xml:space="preserve"> pants. Ostas padomes kompetence: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apstiprina ostas attīstības 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apstiprina ostas pārvaldes budžetu katram finanšu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apstiprina ostas finanšu rādītājus un nefinanšu mērķus atbilstoši Ostas attīstības programmai. Kontrolē nefinanšu mērķu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apstiprina zemes un cita nekustamā īpašuma nomas un īres maksas, un maksas par apbūves tiesību noteikšanu principus, kā arī nomas un īres līgumu, un apbūves tiesību līgumu noslēgšanas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izskata komersantu iesniegumus, kuri adresēti ostas padomei vai attiecas uz tās kompetenci. Komersantu iesniegumus izskata tuvākajā ostas padomes kārtējā sēdē, ja tie saņemti ne vēlāk kā divas nedēļas pirms ostas padomes kārtējās sēdes, vai saskaņā ar ostas pārvaldnieka priekšlikumu – kādā no nākamajām sēdēm;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izskata visas sūdzības par Eiropas Parlamenta un Padomes 2017. gada 15. februāra Regulas (ES) 2017/352, ar ko izveido ostas pakalpojumu sniegšanas sistēmu un kopīgos noteikumus par ostu finansēšanas pārredzamību,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iepazīstas ar informāciju par ostas pārvaldnieka rīcību un darījumiem viņa kompetencē esošajos jautājumos;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apstiprina vidēja termiņa iekšējā audita stratēģisko plānu un gada audita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apstiprina darījumu slēgšanu vai dot piekrišanu nekustamā īpašuma darījumiem;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atceļ ostas pārvaldnieka rīkojumus;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apstiprina korupcijas novēršanas politiku, trauksmes celšanas kārtību, risku vadības sistēmu un uzrauga to īstenošanu atbilstoši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 retāk kā divas reizes gadā izvērtē ostas pārvaldnieka pārskatu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nomas un īres maksas, kā arī maksas par apbūves tiesībām iekasēšanas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apstiprinātā budžeta izpildes gaitu;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saimnieciskās darbības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izskata un pieņem lēmumus, par darījumu, līgumu slēgšanu vai saistību uzņemšanos, kuru kopējā summa pārsniedz 75000 tūkstošus euro (bez pievienotās vērtības nodokļa), kuru izlemšanas gadījumā pārvaldniekam jāsaņem ostas padomes iepriekšēja piekrišana;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pieņem šā likuma 7.</w:t>
            </w:r>
            <w:r w:rsidR="00000000" w:rsidRPr="00000000" w:rsidDel="00000000">
              <w:rPr>
                <w:vertAlign w:val="superscript"/>
                <w:rtl w:val="0"/>
              </w:rPr>
              <w:t xml:space="preserve">1</w:t>
            </w:r>
            <w:r w:rsidR="00000000" w:rsidRPr="00000000" w:rsidDel="00000000">
              <w:rPr>
                <w:rtl w:val="0"/>
              </w:rPr>
              <w:t xml:space="preserve"> panta sestajā daļā minētos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7.</w:t>
            </w:r>
            <w:r w:rsidR="00000000" w:rsidRPr="00000000" w:rsidDel="00000000">
              <w:rPr>
                <w:vertAlign w:val="superscript"/>
                <w:rtl w:val="0"/>
              </w:rPr>
              <w:t xml:space="preserve">1</w:t>
            </w:r>
            <w:r w:rsidR="00000000" w:rsidRPr="00000000" w:rsidDel="00000000">
              <w:rPr>
                <w:rtl w:val="0"/>
              </w:rPr>
              <w:t xml:space="preserve"> panta piektajā daļā noteikts, ka ostas padome pieņem lēmumus par ostas finanšu plānu, ostu maksu un pakalpojumu tarifu noteikšanu, ilgtermiņa attīstības plānu un nekustamā īpašuma atsavināšanas jautājumiem. Tai pašā laikā ostas padomes kompetence ir noteikta arī likumprojektā ietvertajā 7.</w:t>
            </w:r>
            <w:r w:rsidR="00000000" w:rsidRPr="00000000" w:rsidDel="00000000">
              <w:rPr>
                <w:vertAlign w:val="superscript"/>
                <w:rtl w:val="0"/>
              </w:rPr>
              <w:t xml:space="preserve">2 </w:t>
            </w:r>
            <w:r w:rsidR="00000000" w:rsidRPr="00000000" w:rsidDel="00000000">
              <w:rPr>
                <w:rtl w:val="0"/>
              </w:rPr>
              <w:t xml:space="preserve">pantā, līdz ar to nav saprotams, kāpēc ostas padomes kompetence ir noteikta divās atšķirīgās normās un lūdzam to skaidrot. Tāpat lūdzam izvērtēt iespēju visu nepieciešamo regulējumu saistībā ar ostas padomes kompetenci noteikt 7.</w:t>
            </w:r>
            <w:r w:rsidR="00000000" w:rsidRPr="00000000" w:rsidDel="00000000">
              <w:rPr>
                <w:vertAlign w:val="superscript"/>
                <w:rtl w:val="0"/>
              </w:rPr>
              <w:t xml:space="preserve">2</w:t>
            </w:r>
            <w:r w:rsidR="00000000" w:rsidRPr="00000000" w:rsidDel="00000000">
              <w:rPr>
                <w:rtl w:val="0"/>
              </w:rPr>
              <w:t xml:space="preserve"> pantā, t.i. 7.</w:t>
            </w:r>
            <w:r w:rsidR="00000000" w:rsidRPr="00000000" w:rsidDel="00000000">
              <w:rPr>
                <w:vertAlign w:val="superscript"/>
                <w:rtl w:val="0"/>
              </w:rPr>
              <w:t xml:space="preserve">1 </w:t>
            </w:r>
            <w:r w:rsidR="00000000" w:rsidRPr="00000000" w:rsidDel="00000000">
              <w:rPr>
                <w:rtl w:val="0"/>
              </w:rPr>
              <w:t xml:space="preserve">panta piektajā un sestajā daļā noteikto ietvert 7.</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pants. Ostas maksu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Ostās iekasēto tonnāžas, kanāla, mazo kuģu, enkura, ledus, kravas, loču maksu, kā arī piestātnes, pasažieru un sanitāro maksu saņem 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Desmit procenti no tonnāžas, kanāla, mazo kuģu, enkura un kravas maksas tiek ieskaitīti pašvaldības budžetā un izmantojami ar ostas darbību saistītās infrastruktūras attīstībai. Pašvaldība divas reizes gadā sagatavo ostas pārvaldei pārskatu par piešķirto līdzekļu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gadījumā, ja Likumprojekta "Grozījumi Ostu likumā" 8. pantā norādītos iegūtos desmit procentus no tonnāžas, kanāla, mazo kuģu, enkura un kravas maksas novirzīs ostas infrastruktūras, kas nepieciešama saimnieciskās darbības veikšanai, uzlabošanai, tiks piemērots atbilstošs komercdarbības atbalsta regulējums, tādējādi skaidrojot ar šīs normas piemērošanu saistītos būtiskos aspektus komercdarbības atbalsta kontroles regulējuma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noteikumos paredzēts, ka grozījumi saistībā ar ostas padomes un ostas pārvaldnieka iecelšanu stāsies spēkā sešus mēnešus pēc grozījumu izsludināšanas. Tāpat pārejas noteikumu 31.punktā paredzēts, ka līdz šā Likuma 7.</w:t>
            </w:r>
            <w:r w:rsidR="00000000" w:rsidRPr="00000000" w:rsidDel="00000000">
              <w:rPr>
                <w:vertAlign w:val="superscript"/>
                <w:rtl w:val="0"/>
              </w:rPr>
              <w:t xml:space="preserve">3</w:t>
            </w:r>
            <w:r w:rsidR="00000000" w:rsidRPr="00000000" w:rsidDel="00000000">
              <w:rPr>
                <w:rtl w:val="0"/>
              </w:rPr>
              <w:t xml:space="preserve"> pantā noteiktā kārtībā tiek atlasīti un iecelti ostas padomes locekļi Rīgas brīvostā un Ventspils brīvostā, ekonomikas ministra un satiksmes ministra virzītie un ar Ministru kabineta rīkojumu ieceltie pārstāvji turpina pildīt ostas pārvaldes padomes locekļa pienākumus, bet ne ilgāk par vienu gadu. Lūdzam skaidrot, vai pārejas noteikumu 31.punktā ir domāts par valdes locekļiem (jo šobrīd nav padomes)? Lūdzam papildināt anotāciju ar skaidrojumu par ostu pārvaldes pārvaldību pārejas periodā, t.sk. vai šajā pārejas periodā darbu turpinās pašreizējā 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ietvertas “obligātās minimālās prasības kandidātiem uz Latvijas lielo ostu padomes un pārvaldnieka amatiem”. Vēršam uzmanību, ka anotācija nav juridiski saistoša, līdz ar to, ja Satiksmes ministrija vēlas noteikt obligāti nosakāmās prasības, tām būtu jābūt nostiprinātām likumprojektā vai kādā citā tiesību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Ostu pārvaldes valsts pārvaldes funkciju izpildē, sadarbojas ostu uzturēšanas izmaksu samazināšanai, savstarpēji vienojoties par sadarbību tehnisko līdzekļu un resursu efektīvu izmantošanu,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loču kuteru, velkoņu, hidrogrāfijas kuģu un citu peldlīdzekļu kopīgu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navigācijas tehnisko līdzekļu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hidrogrāfijas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avārijas seku likvidācijas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procesu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informācijas un komunikācijas tehnoloģiju projektu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tehnisko līdzekļu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ieguldījumu ostas un ar ostas darbību saistītās infrastruktūras izbūvē.”;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papildus skaidrojumu, ka Likumprojekta "Grozījumi Ostu likumā" 3. pantā norādītais, ar kuru plānots papildināt Ostas likuma 7. pantu ar piekto daļu, attiecas uz Eiropas Komisijas paziņojuma par Līguma par Eiropas Savienības darbību 107. panta 1. punktā minēto valsts atbalsta jēdzienu (2016/C 262/01) 17. punkta c) apakšpunktā noteiktajām valsts pārvaldes funkcijām. Gadījumā, ja puses vienojas par publisko līdzekļu ieguldījumiem saimnieciskās darbības veikšanai nepieciešamās infrastruktūras uzlabošanai, tad plānotās darbības ir izvērtējamas komercdarbības atbalsta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(4) Pirmpirkuma tiesības uz zemi un citu nekustamo īpašumu ostas teritorijā neatkarīgi no tā piederības ir pašvaldībai, izņemot gadījumus, kas paredzēti šī Likuma 7. panta vienpadsmitajā daļā. Ostas pārvaldei aizliegts valdījumā esošo nekustamo īpašumu pārdot, mainīt, dāvināt vai citādi atsavināt, izņemot gadījumus, kas paredzēti šā panta septītajā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paredz papildināt 4.pantu ar vienpadsmito daļu, kas paredz </w:t>
            </w:r>
            <w:r w:rsidR="00000000" w:rsidRPr="00000000" w:rsidDel="00000000">
              <w:rPr>
                <w:u w:val="single"/>
                <w:rtl w:val="0"/>
              </w:rPr>
              <w:t xml:space="preserve">pirmtiesības ostu pārvaldei </w:t>
            </w:r>
            <w:r w:rsidR="00000000" w:rsidRPr="00000000" w:rsidDel="00000000">
              <w:rPr>
                <w:rtl w:val="0"/>
              </w:rPr>
              <w:t xml:space="preserve">uz pašvaldībai piederošu zemi un citu nekustamo īpašumu ostas teritorijā, kas nav nodota tās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vai pašvaldībai tiek paredzētas pirmtiesības visā ostas teritorijā gan pirmajā gan otrajā zonā, t.i., gan ostas teritorijā, kas nodota ostas pārvaldei valdījumā ostas pārvaldes funkciju veikšanai, gan ostas teritorijas daļā, kas nav nodota ostas pārvaldes valdījumā?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(4) Pirmpirkuma tiesības uz zemi un citu nekustamo īpašumu ostas teritorijā neatkarīgi no tā piederības ir pašvaldībai, izņemot gadījumus, kas paredzēti šī Likuma 7. panta vienpadsmitajā daļā. Ostas pārvaldei aizliegts valdījumā esošo nekustamo īpašumu pārdot, mainīt, dāvināt vai citādi atsavināt, izņemot gadījumus, kas paredzēti šā panta septītajā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19.panta ceturtajā daļā norādīto atsauci uz šā likuma 7.panta vienpadsmito daļu, ņemot vērā, ka vienpadsmitās daļas 7.pantā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Līdz šā Likuma 7.3 pantā noteiktā kārtībā tiek atlasīti un iecelti ostas padomes locekļi Rīgas brīvostā un Ventspils brīvostā, ekonomikas ministra un satiksmes ministra virzītie un ar Ministru kabineta rīkojumu ieceltie pārstāvji turpina pildīt ostas pārvaldes padomes locekļa pienākumus, bet ne ilgāk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31.punktā lūdzam precizēt norādīto atsauci uz šā likuma 7.3 pantu, aizstājot to ar 7.</w:t>
            </w:r>
            <w:r w:rsidR="00000000" w:rsidRPr="00000000" w:rsidDel="00000000">
              <w:rPr>
                <w:vertAlign w:val="superscript"/>
                <w:rtl w:val="0"/>
              </w:rPr>
              <w:t xml:space="preserve">3</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1.6.sadaļā iekļauto informāciju, ievērojot, ka sniegtajai informācijai anotācijā ir atsevišķas sadaļas, kurās informācija ir sniedzama.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likumprojekta īstenošana neradīs negatīvu ietekmi uz valsts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25-TA-1113</w:t>
    </w:r>
    <w:r>
      <w:br/>
    </w:r>
    <w:r w:rsidR="00000000" w:rsidRPr="00000000" w:rsidDel="00000000">
      <w:rPr>
        <w:rtl w:val="0"/>
      </w:rPr>
      <w:t xml:space="preserve">Izdrukāts 10.05.2025.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25-TA-1113</w:t>
    </w:r>
    <w:r>
      <w:br/>
    </w:r>
    <w:r w:rsidR="00000000" w:rsidRPr="00000000" w:rsidDel="00000000">
      <w:rPr>
        <w:rtl w:val="0"/>
      </w:rPr>
      <w:t xml:space="preserve">Izdrukāts 10.05.2025.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Atzinumi_25-TA-1113.docx</dc:title>
</cp:coreProperties>
</file>

<file path=docProps/custom.xml><?xml version="1.0" encoding="utf-8"?>
<Properties xmlns="http://schemas.openxmlformats.org/officeDocument/2006/custom-properties" xmlns:vt="http://schemas.openxmlformats.org/officeDocument/2006/docPropsVTypes"/>
</file>