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ietvertā 26. panta redakcija nosaka pienākumu īstenot darbības, kas samazina meža bojājumu iespējamību un ierobežo to izplatību, taču nav atrunāts, ka šāds pienākums nav nosakāms īpaši aizsargājamās dabas teritorijās un īpaši aizsargājamajos biotopos un īpaši aizsargājamo sugu dzīvotnēs, kur koku bojājumi neapdraud saimnieciskos mežus, savukārt bojājumu ierobežošanas pasākumi negatīvi ietekmētu īpaši aizsargājamās sugas un biotopus un meža ekosistēmas dabisku attīstību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panta 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 darbības, kas samazina meža bojājumu iespējamību un ierobežo to izplatību, </w:t>
            </w:r>
            <w:r w:rsidR="00000000" w:rsidRPr="00000000" w:rsidDel="00000000">
              <w:rPr>
                <w:b w:val="1"/>
                <w:rtl w:val="0"/>
              </w:rPr>
              <w:t xml:space="preserve">ciktāl tas nav pretrunā ar īpaši aizsargājamo dabas teritoriju un īpaši aizsargājamo sugu un biotopu aizsardzības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īstenot pasākumus, lai apkarotu kaitēkļus un slimības vai ierobežotu to izplatīšanos, Valsts meža dienestam ir jāņem vērā spēkā esošie normatīvi īpaši aizsargājamo dabas teritoriju un sugu un biotopu aizsardzības jomā, jo mežaudzes nociršana vai bojāto koku izvākšana var iznīcināt vai negatīvi ietekmēt īpaši aizsargājamās sugas un biotopus un būt pretrunā ar īpaši aizsargājamās dabas teritorijas vai tās funkcionālās zonas izveidošanas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29.1 pantā minētā monitoringa rezultātiem </w:t>
            </w:r>
            <w:r w:rsidR="00000000" w:rsidRPr="00000000" w:rsidDel="00000000">
              <w:rPr>
                <w:b w:val="1"/>
                <w:rtl w:val="0"/>
              </w:rPr>
              <w:t xml:space="preserve">un ņemot vērā īpaši aizsargājamo dabas teritoriju, īpaši aizsargājamo sugu un īpaši aizsargājamo biotopu aizsardzības regulējumu,</w:t>
            </w:r>
            <w:r w:rsidR="00000000" w:rsidRPr="00000000" w:rsidDel="00000000">
              <w:rPr>
                <w:rtl w:val="0"/>
              </w:rPr>
              <w:t xml:space="preserve"> Valsts meža dienests var noteikt pienākumu šā likuma 26.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problēmu un risinājumu aprakstā nepieciešams minēt, ka koku un mežaudžu izciršana kaitēkļu un slimību ierobežošanai var iznīcināt vai negatīvi ietekmēt īpaši aizsargājamos biotopus un sugas un ir pretrunā ar meža ekosistēmas dabisku attīstību, kas var būt noteikta kā konkrētās īpaši aizsargājamās dabas teritorijas vai funkcionālās zonas izveidošanas mērķis. Līdz ar to, nosakot pienākumus un pasākumu kaitēkļu un slimību ierobežošanai, jāņem vērā arī īpaši aizsargājamo dabas teritoriju un īpaši aizsargājamo sugu un biotopu aizsardzības mērķi un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juridiski formāli uz šo likumprojektu sabiedrības līdzdalības nepieciešamību var neattiecināt, taču pēc būtības sabiedrības līdzdalība ir ļoti nepieciešana, jo likumprojekts skar sabiedrības kopējās intereses – meža ilgtspējīgu apsaimniekošanu un jo īpaši – bioloģiskās daudzveidības saglabāšanu teritorijās, kur prioritāra ir meža dabiska attīstība un kaitēkļu ierobežošana saimnieciskās interesēs nav aktuāla. Tāpat arī likumprojekts skar meža īpašnieku un apsaimniekotāju intereses un savlaicīga ieinteresēto pušu iesaistīšana diskusijās veicinātu vienotas izpratnes veidošanos un atbalstu likumprojektā ietveramajiem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likumprojekta izstrādē netika nodrošināta sabiedrības līdzdalība, likumprojekta deleģēto Ministru kabineta noteikumu (skat. anotācijas 4.1.1. sadaļu) projekta izstrādē tiks iesaistītas visas meža ilgtspējīgā apsaimniekošanās ieinteresētās puses (gan valsts institūciju, gan meža īpašnieku un apsaimniekotāju NVO, vides NVO u.c.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27.04.2023.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27.04.2023.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