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plānotie grozījumi par Atveseļošanas un noturības mehānisma finansējuma apmēru projektā (t.i. ietaupījuma pārdali no projekta Nr. 2.1.2.1.i.0/2/24/I/CFLA/003 "Atvieglojumu pārvaldības pakalpojuma pilnveide un ieviešanas atbalsts") atbilst noteikumu projektā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ietvertajiem grozījumiem, kā arī rīkojuma projekts tiek virzīts, ievērojot minētajam noteikumu projektam 26-TA-1579 atbilstošā Ministru kabineta sēdes protokollēmuma projekta 8.3. apakšpunktā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šis rīkojuma projekts tiks virzīts izskatīšanai Ministru kabinetā brīdī, kad vēl nebūs apstiprināts augstāk minētais noteikumu projekts 26-TA-1579, lūdzam papildināt anotācijas 4. sadaļu ar informāciju, ka rīkojuma projekts virzāms izskatīšanai Ministru kabinetā vienlaikus vai pēc noteikumu projekta 26-TA-1579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2.1.2.1.i. investīcijas “Centralizētās platformas un sistēmas” rādītāji jau ir sasniegti un projekta turpmākā īstenošana neietekmēs sasniegto rādītāju izpildi un progresu. Tas sniegtu skaidrāku priekšstatu par grozījumu ietekmi uz investīcijas mērķu sasniegšanu un apliecinātu, ka plānotās izmaiņas nerada riskus jau sasniegto rezultātu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ir identificēta nepieciešamība papildināt Vēlēšanu platformu ar vēlēšanu komisiju administratīvā darba atbalstam nepieciešamo funkcionalitāti, kā arī veikt kiberdrošības testēšanu. Lai nodrošinātu skaidru izpratni par papildu plānoto darbu tvērumu un novērstu iespējamu pārklāšanos ar Vēlēšanu platformā jau ieviestajām funkcionalitātēm, aicinām anotāciju papildināt ar informāciju, precizējot, kādas vēlēšanu komisiju administratīvā darba atbalsta funkcionalitātes paredzēts izstrādāt, kādi uzlabojumi tiks ieviesti un kādu ieguvumu tie nodrošinās lietotājiem un procesu īstenošanai. Šobrīd anotācijā ietvertais apraksts ir pārāk vispārīgs un nesniedz pietiekamu priekšstatu par plānotajām izmaiņām, risināmajām problēmām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 sākotnējā Ministru kabineta rīkojumā par projekta pases apstiprināšanu, ne līdzšinējo pieņemto grozījumu, ne arī tagad virzīto grozījumu anotācijā nav norādīts detalizēts projekta rezultātu uzturēšanas izmaksu aprēķins, lūdzam anotācijas 3.sadaļas 6.punktā informāciju par uzturēšanas izmaksām papildināt ar skaidrojumu, ka detalizēts aprēķins tām tiks iesniegts, kad saskaņā ar Likumā par budžetu un finanšu vadību noteikto Viedās administrācijas un reģionālās attīstības ministrija (Valsts digitālās attīstības aģentūra) un Iekšlietu ministrija (Pilsonības un migrācijas lietu pārvalde) pieprasīs finansējumu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Viedās administrācijas un reģionālās attīstības ministrijas izstrādātās Valsts pārvaldes informācijas un komunikācijas tehnoloģiju izdevumu vērtēšanas vadlīnijas ir izmantojamas uzturēšanas izmaksu noteikšanā, bet tās negarantē iespēju pieprasīt maksimāli iespējamo finansējumu, jo valsts budžeta iestādēm saistošs ir jautājums par valsts budžeta finansiālām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16.09.2026.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16.09.2026.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Atzinumi_26-TA-2109.docx</dc:title>
</cp:coreProperties>
</file>

<file path=docProps/custom.xml><?xml version="1.0" encoding="utf-8"?>
<Properties xmlns="http://schemas.openxmlformats.org/officeDocument/2006/custom-properties" xmlns:vt="http://schemas.openxmlformats.org/officeDocument/2006/docPropsVTypes"/>
</file>