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46.-48. zemsvītras paskaidrojumā ir norādīts finansējums, kas skaitliskā izteiksmē nav identificējams. Lūdzam sniegt norādes uz minēto projektu Ministru kabineta noteikumiem, kas paredz šo pasākumu īstenošanu, atsevišķi nenorādot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precizēt teikumu: "SM šobrīd plāno īstenot dažādas aktivitātes sabiedriskā transporta infrastruktūras uzlabošana – bezemisiju vilcieni, dzelzceļa pasažieru infrastruktūras modernizācija un dzelzceļa infrastruktūras modernizācija vilcienu kustības ātruma paaugstināšanai." (32.-33. lpp) atbilstoši lomu sadalījumam, kas norādīts minēto projektu Ministra kabineta noteikumos. Piemēram, atbilstoši  Ministru kabineta 2024. gada 23. jūlija noteikumiem Nr. 507 "Eiropas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 Satiksmes ministrija pilda atbildīgās iestādes funkcijas, bet projekta iesniedzējs un finansējuma saņēmējs ir VAS "Latvijas dzelzceļš".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Curbunova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05.11.2024.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05.11.2024.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