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priekšlikumiem kapitāla tirgus attīstībai un valsts un pašvaldību kapitālsabiedrībām, kas virzāmas sākotnējam publiskam piedāvājumam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izsaka papildus iebildumu par ziņojuma “5.2. Valsts komerciālo kapitālsabiedrību mazākuma daļas atsavināšana”, jo  nav piedāvāti risinājumi, kas nodrošinātu konkurences neitralitāti. Saglabājot nevienlīdzīgus nosacījumus attiecībā pret ārvalstu publisko personu kapitālsabiedrībām un privātajiem uzņēmumiem, tiek mazināta investoru interese par attiecīgo akciju iegādi, tādējādi valsts un pašvaldību kapitālsabiedrības nesaņems plānotos papildu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lai nodrošinātu konkurences neitralitāti attiecībā pret citu valstu publisko personu kapitālsabiedrībām, nepieciešams grozīt Valsts pārvaldes iekārtas likumu, nosakot tām līdzvērtīgus ierobežojumus, kā Latvijas valstij vai pašvaldībām piederošām sabiedrībām, vai arī neattiecināt Valsts pārvaldes iekārtas likuma 88. pantu un publisko kapitālsabiedrību darbību un atalgojumu regulējošās normas uz valsts un pašvaldību komerciālajām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vienlīdzīgas konkurences iespējas starp valsts un pašvaldību kapitālsabiedrībām un privātpersonām piederošām kapitālsabiedrībām, likumprojektos jāiekļauj nevienlīdzību mazinoši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vienādot nefinanšu mērķu noteikšanas un finansēšanas nosacījumus publiskajām un privātajām kapitālsabiedrībām, it īpaši dotējamu publisko pakalpojumu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nodrošināt vienlīdzīgas tiesības veikt blakus darbības, kas papildina kapitālsabiedrību galveno darbību, gan publiskajām, gan privātajām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nepiemērot publisko kapitālsabiedrību darbinieku motivācijas ierobežojumus stingrākus nekā tie ir privātajām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Atzinumi_25-TA-1521.docx</dc:title>
</cp:coreProperties>
</file>

<file path=docProps/custom.xml><?xml version="1.0" encoding="utf-8"?>
<Properties xmlns="http://schemas.openxmlformats.org/officeDocument/2006/custom-properties" xmlns:vt="http://schemas.openxmlformats.org/officeDocument/2006/docPropsVTypes"/>
</file>