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decembra noteikumos Nr. 795 "Studiju programmu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 licencējamās studiju programmas saturu un īstenošanas mehānismu (tai skaitā doktorantūras skolu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atbalstāms iekavās norādītais papildinājums “(tai skaitā doktorantūras skolu darbību)”. MK noteikumi Nr.793 nosaka studiju programmu licencēšanas kārtību un prasības studiju programmām, lai tās varētu sākt īstenot un uzņemt studējošos. Savukārt doktorantūras skolas ir struktūrvienība, kuras izveides nosacījumus un funkcijas nosaka Augstskolu likums, līdz ar to nav saprotams, kāpēc studiju programmas licencēšanas ietvaros būtu papildus jāvērtē kāda konkrēta struktūrvienība. Šo noteikumu mērķis nav noteikt kādu struktūrvienību licencēšanas prasības vai kārtību. Augstskolu struktūrvienības paredzēt skatīt augstskolu akreditācijas ietvaros nevis atsevišķu programmu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24.14. licencējamās studiju programmas saturu un īstenošanas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Atzinumi_24-TA-2824.docx</dc:title>
</cp:coreProperties>
</file>

<file path=docProps/custom.xml><?xml version="1.0" encoding="utf-8"?>
<Properties xmlns="http://schemas.openxmlformats.org/officeDocument/2006/custom-properties" xmlns:vt="http://schemas.openxmlformats.org/officeDocument/2006/docPropsVTypes"/>
</file>