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nepastāv valsts atbalsta risks noteikumu projekta 6.</w:t>
            </w:r>
            <w:r w:rsidR="00000000" w:rsidRPr="00000000" w:rsidDel="00000000">
              <w:rPr>
                <w:vertAlign w:val="superscript"/>
                <w:rtl w:val="0"/>
              </w:rPr>
              <w:t xml:space="preserve">1</w:t>
            </w:r>
            <w:r w:rsidR="00000000" w:rsidRPr="00000000" w:rsidDel="00000000">
              <w:rPr>
                <w:rtl w:val="0"/>
              </w:rPr>
              <w:t xml:space="preserve">2 punktā minētajā gadījumā - </w:t>
            </w:r>
            <w:r w:rsidR="00000000" w:rsidRPr="00000000" w:rsidDel="00000000">
              <w:rPr>
                <w:i w:val="1"/>
                <w:rtl w:val="0"/>
              </w:rPr>
              <w:t xml:space="preserve">banku garantijai (konkursa, avansa maksājuma, maksājuma izpildes vai laika garantijai), banku garantiju limitam, kredītvēstulei un galvojumam – t.i., ka viss labums tiks nodots gala labuma guvēja līmenī</w:t>
            </w:r>
            <w:r w:rsidR="00000000" w:rsidRPr="00000000" w:rsidDel="00000000">
              <w:rPr>
                <w:rtl w:val="0"/>
              </w:rPr>
              <w:t xml:space="preserve"> (nepaliek nekāds atbalsts banku vai iepriekšējo galvotāju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 informāciju par 7 000 000 </w:t>
            </w:r>
            <w:r w:rsidR="00000000" w:rsidRPr="00000000" w:rsidDel="00000000">
              <w:rPr>
                <w:i w:val="1"/>
                <w:rtl w:val="0"/>
              </w:rPr>
              <w:t xml:space="preserve">euro </w:t>
            </w:r>
            <w:r w:rsidR="00000000" w:rsidRPr="00000000" w:rsidDel="00000000">
              <w:rPr>
                <w:rtl w:val="0"/>
              </w:rPr>
              <w:t xml:space="preserve">precizēt atbilstoši TA lietas Nr. 23-TA-2639 anotācijā sniegtajai informācijai, proti, ka 5 787 948 </w:t>
            </w:r>
            <w:r w:rsidR="00000000" w:rsidRPr="00000000" w:rsidDel="00000000">
              <w:rPr>
                <w:i w:val="1"/>
                <w:rtl w:val="0"/>
              </w:rPr>
              <w:t xml:space="preserve">euro</w:t>
            </w:r>
            <w:r w:rsidR="00000000" w:rsidRPr="00000000" w:rsidDel="00000000">
              <w:rPr>
                <w:rtl w:val="0"/>
              </w:rPr>
              <w:t xml:space="preserve"> plānots novirzīt valsts atbalsta programmai par aizdevumu piešķiršanu apgrozāmo līdzekļu iegādei lauksaimniecības, mežsaimniecības, zvejniecības un akvakultūras nozarē, savukārt atlikušo finansējumu 1 212 052 </w:t>
            </w:r>
            <w:r w:rsidR="00000000" w:rsidRPr="00000000" w:rsidDel="00000000">
              <w:rPr>
                <w:i w:val="1"/>
                <w:rtl w:val="0"/>
              </w:rPr>
              <w:t xml:space="preserve">euro </w:t>
            </w:r>
            <w:r w:rsidR="00000000" w:rsidRPr="00000000" w:rsidDel="00000000">
              <w:rPr>
                <w:rtl w:val="0"/>
              </w:rPr>
              <w:t xml:space="preserve">Zemkopības ministrija pieprasīs sabiedrībai “Altum” atmaksāt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Līdzvērtīgus precizējumus aicinām veikt arī anotācijas 1.1.sadaļā.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6.1. un 6.2. apakšpunktā norādīto informācija pārcelt uz 6.punktu, attiecīgi 6.1. un 6.2.apakšpunktos norādot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apakšsadaļā “Cita informācija” norādīto informāciju, ka “LAP apakšpasākumu "Atbalsts ieguldījumiem lauku saimniecībās", "Atbalsts ieguldījumiem pārstrādē" un "Atbalsts ieguldījumiem ar lauksaimniecību nesaistītu darbību radīšanā un attīstīšanā" īstenošanai pārejas periodā 2021. un 2022. gadā piešķirtais finansējums samazināts no 10 000 000 līdz 1 000 000 euro, 9 000 000 euro novirzot citiem LAP apakšpasākumiem – "Atbalsts ieguldījumiem lauku saimniecībās", "Atbalsts ieguldījumiem pārstrādē" un "Atbalsts ieguldījumiem ar lauksaimniecību nesaistītu darbību radīšanā un attīstīšanā". No redakcijas nav saprotams, kuriem citiem LAP apakšpasākumiem finansējums tiek novirzīts, jo norādīti tie paši pasākumi, kuriem finansējums tiek samazināts.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programmas rādītāju novērtējuma projekta 5. sadaļā norādītajam vadības izdevumu kompensācijas apmēram attiecībā pret kopējo programmas finansējumu, ņemot vērā, ka vadības izdevumu kompensācijas apmērs sastāda 19% no programmai paredzētā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projekta 5. sadaļu, norādot, ko ietver administratīvie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programmas rādītāju novērtējuma projekta 3. sadaļā aprēķinātās kredītriska un citu risku zaudējumu summas un pēc nepieciešamības veikt precizējumus. Vienlaikus lūdzam norādīt izsniegto riska darījumu kopējā apjoma summu, no kādas aprēķinātas kredītriska un citu risku zaudējumu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7.5.5. galvinieka sniegtam galvojumam saimnieciskās darbības veicējiem, biedrībām vai nodibinājumiem, kas Lauku atbalsta dienestā pieteikušies atbalstam Kopējās lauksaimniecības politikas īstenošanas pasākumos vai saņēmuši avansa maksājumu atbilstoši Komisijas 2016. gada 18. maija Deleģētajai regulai (ES) 2016/1238, ar ko Eiropas Parlamenta un Padomes Regulu (ES) Nr. 1308/2013 papildina attiecībā uz valsts intervenci un privātās uzglabāšanas atbalstu (Eiropas Savienības Oficiālais Vēstnesis, 2016. gada 30. jūlijs, Nr. L 206), ievērojot regulas Nr.  1407/2013 vai regulas Nr.1408/2013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tiek saprasts ar noteikumu 6.</w:t>
            </w:r>
            <w:r w:rsidR="00000000" w:rsidRPr="00000000" w:rsidDel="00000000">
              <w:rPr>
                <w:vertAlign w:val="superscript"/>
                <w:rtl w:val="0"/>
              </w:rPr>
              <w:t xml:space="preserve">1</w:t>
            </w:r>
            <w:r w:rsidR="00000000" w:rsidRPr="00000000" w:rsidDel="00000000">
              <w:rPr>
                <w:rtl w:val="0"/>
              </w:rPr>
              <w:t xml:space="preserve">2.apakšpunktā  un 7.5.5.apakšpunktā minēto terminu "galvinieka sniegts galvojums", lūdzam sniegt skaidrojumu anotācijā, kas šis būs par subjektu, kas sniegs galvojumu, kurš būs gala labuma guvējs un kā attiecībā uz šo galvinieku tiks izslēgts komercdarbības atbalsta sniegšanas risks, jo, kā saprotams no MK noteikumiem projekta, sabiedrība ALTUM uzņemsies saistības garantēt jau izsniegto galvojumu, tādējādi kādu citu finanšu institūciju atbrīvojot no riska. Vēršam uzmanību, ka valstij uzņemoties saistības segt uzņēmējdarbības rezultātā radušos riskus, konkrētajam subjektam tiek sniegts atbalsts un attiecībā uz to ir jāpiemēro komercdarbības atbalsta kontroles regulējums.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Garantijas sākotnējais termiņš nepārsniedz 10 gadus, bet, ja tiek pagarināts sabiedrības </w:t>
            </w:r>
            <w:r w:rsidR="00000000" w:rsidRPr="00000000" w:rsidDel="00000000">
              <w:rPr>
                <w:i w:val="1"/>
                <w:rtl w:val="0"/>
              </w:rPr>
              <w:t xml:space="preserve">Altum</w:t>
            </w:r>
            <w:r w:rsidR="00000000" w:rsidRPr="00000000" w:rsidDel="00000000">
              <w:rPr>
                <w:rtl w:val="0"/>
              </w:rPr>
              <w:t xml:space="preserve"> iepriekš izsniegtas garantijas termiņš, garantijas kopējais termiņš nepārsniedz 15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izsniedzot garantiju saskaņā ar Komisijas regulu Nr.1407/2013, tiek ievēroti šobrīd spēkā esošo MK noteikumu Nr.9 21.1.punktā minētie ierobežojumi. Vienlaikus lūdzam papildināt normu ar nosacījumu, ka Altum komercdarbības atbalstam noteikto prasību īstenošanu vērtē dienā, kad pieņem lēmumu par garantiju piešķiršanu, pagarināšanu vai noraidīšanu (lūdzam atgriezt noteikumu tekstā šobrīd spēkā esošo 3.punkta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Spēkā esošo garantiju apmērs viena vienota uzņēmuma līmenī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šī brīža noteikumu 19.punkta redakcija nenodrošina skaidru šīs normas piemērošanu, ņemot vērā, ka noteikumu ietvaros ir paredzēts sniegt de minimis atbalstu gan ar regulu Nr. 1407/2013, gan regulu Nr. 1408/2013 vai regulu Nr. 717/2014. Attiecībā uz spēkā esošo garantijas apmēru saskaņā ar regulu Nr. 1407/2013, lūdzam saglabāt esošos noteikumu 19.punkta nosacījumus, t.sk., ar atsaucēm uz konkrētiem atbilstošajiem MK noteikumu punktiem, kur norādīts subsīdijas ekvivalenta aprēķins un garantijas apjoms vienam vienotam uzņēmumam un sasaisti ar konkrētu regulu. Lūdzam atbilstoši precizēt noteikumu 19.punktu.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Papildus šo noteikumu 19. punktā noteiktajam spēkā esošo garantiju apmēram, piešķirot garantiju lielajiem saimnieciskās darbības veicējiem kā </w:t>
            </w:r>
            <w:r w:rsidR="00000000" w:rsidRPr="00000000" w:rsidDel="00000000">
              <w:rPr>
                <w:i w:val="1"/>
                <w:rtl w:val="0"/>
              </w:rPr>
              <w:t xml:space="preserve">de minimis</w:t>
            </w:r>
            <w:r w:rsidR="00000000" w:rsidRPr="00000000" w:rsidDel="00000000">
              <w:rPr>
                <w:rtl w:val="0"/>
              </w:rPr>
              <w:t xml:space="preserve"> atbalstu, ņem vērā regulas Nr. 1407/2013 4. panta 6. punkta “b" apakšpunktā, regulas Nr. 1408/2013 4. panta 6. punkta "b" apakšpunktā vai regulas Nr. 717/2014  4. panta 6. punkta "b" apakšpunktā noteikto garantijas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19.</w:t>
            </w:r>
            <w:r w:rsidR="00000000" w:rsidRPr="00000000" w:rsidDel="00000000">
              <w:rPr>
                <w:vertAlign w:val="superscript"/>
                <w:rtl w:val="0"/>
              </w:rPr>
              <w:t xml:space="preserve">1</w:t>
            </w:r>
            <w:r w:rsidR="00000000" w:rsidRPr="00000000" w:rsidDel="00000000">
              <w:rPr>
                <w:rtl w:val="0"/>
              </w:rPr>
              <w:t xml:space="preserve">punktu tā, lai ir skaidrs, ka, piemēram, atbalstu sniedzot ar Komisijas regulu Nr.1407/2013, ir jāievēro konkrētajā de minimis regulā noteiktais garantijas apmērs, t.i., Komisijas regulas Nr.1407/2013  4. panta 6. punkta “b" apakšpunktā noteiktais, nevis normā ietvertās visās uzskaitītajās regulās minētais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kā starpību starp likmēm, kas tiek diskontēta, izmantojot atsauces likmi, kas aprēķināma saskaņā ar Eiropas Komisijas Latvijai apstiprināto atsauces likmi, kurai pieskaitīti 100 bāzes punkti, ja garantijas ilgums pārsniedz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 vienā no de minimis regulām šāda metode subsīdijas ekvivalenta aprēķināšanai nav paredzēta, lūdzam šo apakšpunktu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2.a punktā, regulas Nr. 1408/2013 3. panta 3.a punktā un regulas Nr.  717/2014 3. panta 2.a punktā noteiktajam robežlielumam, ja netiek pārsniegta šajās regulās noteiktā maksimālā atbalsta summa vai maksimālā atbalsta intensitāte attiecīgajai izmaksu pozīcijai nepārsniedz 100 procentu;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precizēt, ņemot vērā, ka Komisijas  regulas Nr.1407/2013 3. panta 2. punktā nav a)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Finanšu institūcija reizi ceturksnī savā tīmekļvietnē ievieto informāciju par kredīta vai galvojuma saņēmēju, kredīta vai galvojuma izlietojuma mērķi, garantijas summu un garantijas izsniegšanas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Nr. 9 30. punktu, precizējot tajā lietoto vārdkopu “finanšu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23-TA-1978</w:t>
    </w:r>
    <w:r>
      <w:br/>
    </w:r>
    <w:r w:rsidR="00000000" w:rsidRPr="00000000" w:rsidDel="00000000">
      <w:rPr>
        <w:rtl w:val="0"/>
      </w:rPr>
      <w:t xml:space="preserve">Izdrukāts 31.10.2023.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23-TA-1978</w:t>
    </w:r>
    <w:r>
      <w:br/>
    </w:r>
    <w:r w:rsidR="00000000" w:rsidRPr="00000000" w:rsidDel="00000000">
      <w:rPr>
        <w:rtl w:val="0"/>
      </w:rPr>
      <w:t xml:space="preserve">Izdrukāts 31.10.2023.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Atzinumi_23-TA-1978.docx</dc:title>
</cp:coreProperties>
</file>

<file path=docProps/custom.xml><?xml version="1.0" encoding="utf-8"?>
<Properties xmlns="http://schemas.openxmlformats.org/officeDocument/2006/custom-properties" xmlns:vt="http://schemas.openxmlformats.org/officeDocument/2006/docPropsVTypes"/>
</file>