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Lauksaimniecības un lauku attīstības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joprojām izsaka bažas par tik gara nomas termiņa atbilstību Publiskas personas finanšu līdzekļu un mantas izšķērdēšanas novēršanas likuma 3.pantam, vienlaikus to izvērtēt un nodrošināt ir citu iestāžu kompetence un Zemkopības ministrijas kā likumprojekta virzītājas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Briška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29.10.2024. 14.01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29.10.2024. 14.01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Atzinumi_24-TA-1135.docx</dc:title>
</cp:coreProperties>
</file>

<file path=docProps/custom.xml><?xml version="1.0" encoding="utf-8"?>
<Properties xmlns="http://schemas.openxmlformats.org/officeDocument/2006/custom-properties" xmlns:vt="http://schemas.openxmlformats.org/officeDocument/2006/docPropsVTypes"/>
</file>