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23-TA-626: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tiek īstenota starpinstitucionālās sadarbības programma “Bērna māja”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punktu “Cita informācija”, norādot, ka LM atbilstoši Ministru kabineta 17.01.2023. noteikumu Nr.15 “Maksimāli pieļaujamā valsts budžeta izdevumu kopapjoma un  katrai ministrijai un citai centrālajai valsts iestādei paredzētā izdevumu kopējā apjoma noteikšanas kārtība vidējam termiņam” 12.2.apakšpunktam Finanšu ministrijā iesniegs priekšlikumu par papildu nepieciešamā finansējuma 31 340 </w:t>
            </w:r>
            <w:r w:rsidR="00000000" w:rsidRPr="00000000" w:rsidDel="00000000">
              <w:rPr>
                <w:i w:val="1"/>
                <w:rtl w:val="0"/>
              </w:rPr>
              <w:t xml:space="preserve">euro</w:t>
            </w:r>
            <w:r w:rsidR="00000000" w:rsidRPr="00000000" w:rsidDel="00000000">
              <w:rPr>
                <w:rtl w:val="0"/>
              </w:rPr>
              <w:t xml:space="preserve"> apmērā iekļaušanu LM pamatbudžeta bāzes projektā 2027., 2028. un 2029.gadam, lai sākot ar 2027. gadu nodrošinātu Bērnu mājas filiāles darbību pilnam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23-TA-626</w:t>
    </w:r>
    <w:r>
      <w:br/>
    </w:r>
    <w:r w:rsidR="00000000" w:rsidRPr="00000000" w:rsidDel="00000000">
      <w:rPr>
        <w:rtl w:val="0"/>
      </w:rPr>
      <w:t xml:space="preserve">Izdrukāts 17.10.2023. 14.56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23-TA-626</w:t>
    </w:r>
    <w:r>
      <w:br/>
    </w:r>
    <w:r w:rsidR="00000000" w:rsidRPr="00000000" w:rsidDel="00000000">
      <w:rPr>
        <w:rtl w:val="0"/>
      </w:rPr>
      <w:t xml:space="preserve">Izdrukāts 17.10.2023. 14.56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Atzinumi_23-TA-626.docx</dc:title>
</cp:coreProperties>
</file>

<file path=docProps/custom.xml><?xml version="1.0" encoding="utf-8"?>
<Properties xmlns="http://schemas.openxmlformats.org/officeDocument/2006/custom-properties" xmlns:vt="http://schemas.openxmlformats.org/officeDocument/2006/docPropsVTypes"/>
</file>