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norāda, ka šie grozījumi maina valsts finansēšanas kritērijus pedagogu darba samaksai, tāpēc lūdzam nevirzīt Izglītības likuma grozījumus, kamēr nav rasti kompromisi ar sociālajiem un sadarbības partneriem par finansēšanas modeli “Programma skolā”, tam nodrošinot atbilstošus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nozarē pēdējo gadu laikā ir īstenotas vairākas reformas bez atbilstošiem resursiem, kas negatīvi ietekmēja nozares darbinieku labbūtību. Tāpēc ir būtiski, lai jaunais finansēšanas modelis “Programma skolā” ir kā paraugs kvalitatīvai, ilgtspējīgai reformai, kas tiek izstrādāta un īstenota, ievērojot labas pārvaldības principus, veicinot sabiedrības uzticēšanos lēmējvarai un izpildvarai.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21.08.2024.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21.08.2024.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