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cilvēkiem paredzēto zāļu klīniskajiem pētījumiem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Farmācijas likuma 5. panta 15., 27. punktu, 26.</w:t>
            </w:r>
            <w:r w:rsidR="00000000" w:rsidRPr="00000000" w:rsidDel="00000000">
              <w:rPr>
                <w:vertAlign w:val="superscript"/>
                <w:rtl w:val="0"/>
              </w:rPr>
              <w:t xml:space="preserve">1</w:t>
            </w:r>
            <w:r w:rsidR="00000000" w:rsidRPr="00000000" w:rsidDel="00000000">
              <w:rPr>
                <w:rtl w:val="0"/>
              </w:rPr>
              <w:t xml:space="preserve"> panta pirmo daļu, 26.</w:t>
            </w:r>
            <w:r w:rsidR="00000000" w:rsidRPr="00000000" w:rsidDel="00000000">
              <w:rPr>
                <w:vertAlign w:val="superscript"/>
                <w:rtl w:val="0"/>
              </w:rPr>
              <w:t xml:space="preserve">3</w:t>
            </w:r>
            <w:r w:rsidR="00000000" w:rsidRPr="00000000" w:rsidDel="00000000">
              <w:rPr>
                <w:rtl w:val="0"/>
              </w:rPr>
              <w:t xml:space="preserve"> panta ceturto daļu, 29. 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pilnvarojums Ministru kabinetam noteikt kārtību un prasības, kādā Zāļu valsts aģentūra izsniedz un atsauc minēto atļauju klīniskās pārbaudes veikšanai un aptur vai atjauno klīnisko pārbaudi, ietverts Farmācijas likuma 26.</w:t>
            </w:r>
            <w:r w:rsidR="00000000" w:rsidRPr="00000000" w:rsidDel="00000000">
              <w:rPr>
                <w:vertAlign w:val="superscript"/>
                <w:rtl w:val="0"/>
              </w:rPr>
              <w:t xml:space="preserve">1</w:t>
            </w:r>
            <w:r w:rsidR="00000000" w:rsidRPr="00000000" w:rsidDel="00000000">
              <w:rPr>
                <w:rtl w:val="0"/>
              </w:rPr>
              <w:t xml:space="preserve"> panta otrajā, nevis pirmajā daļā, tādēļ lūdzam atbilstoši precizēt norādi par noteikumu projekta izdošanas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Klīnisko pārbaudi veic saskaņā ar Eiropas Parlamenta un Padomes 2014. gada 16. aprīļa Regulu (ES) Nr. 536/2014 par cilvēkiem paredzēto zāļu klīniskajām pārbaudēm un ar ko atceļ Direktīvu 2001/20 EK (turpmāk - regula 536/2014) un šiem noteikumiem.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nodrošinot, ka netiek dublēts Farmācijas likuma regulējums,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svītrojot noteikumu projekta 2. punktu kā Farmācijas likuma 26.</w:t>
            </w:r>
            <w:r w:rsidR="00000000" w:rsidRPr="00000000" w:rsidDel="00000000">
              <w:rPr>
                <w:vertAlign w:val="superscript"/>
                <w:rtl w:val="0"/>
              </w:rPr>
              <w:t xml:space="preserve">1</w:t>
            </w:r>
            <w:r w:rsidR="00000000" w:rsidRPr="00000000" w:rsidDel="00000000">
              <w:rPr>
                <w:rtl w:val="0"/>
              </w:rPr>
              <w:t xml:space="preserve"> panta pirmajā daļā ietvertā regulējuma pēc būtības dublējošu;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svītrojot vai precizējot noteikumu projekta 7. punktu kā Farmācijas likuma 28.</w:t>
            </w:r>
            <w:r w:rsidR="00000000" w:rsidRPr="00000000" w:rsidDel="00000000">
              <w:rPr>
                <w:vertAlign w:val="superscript"/>
                <w:rtl w:val="0"/>
              </w:rPr>
              <w:t xml:space="preserve">2</w:t>
            </w:r>
            <w:r w:rsidR="00000000" w:rsidRPr="00000000" w:rsidDel="00000000">
              <w:rPr>
                <w:rtl w:val="0"/>
              </w:rPr>
              <w:t xml:space="preserve"> pantā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lietotie termini atbilst regulas 536/2014 2. pantā lietotajiem terminiem.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 punktā konkretizēt, par kuriem noteikumos lietotajiem terminiem iet runa, tādējādi nodrošinot skaidras tiesību normas. Ja minētie termini atbilst Farmācijas likuma 1. panta otrajā daļā norādītajiem, lūdzam minēto noteikumu projekta 3. punktu svītrot, jo šī norāde būtu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Pirms klīniskās pārbaudes uzsākšanas sponsors saņem atļauju saskaņā ar regulas 536/2014 II nodaļā noteikto kārtību, iesniedzot regulas 536/2014 I pielikumā norādītos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 punktā norādīt, kam iesniedzami attiecīgie dokumenti,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Zāļu valsts aģentūras lēmumu, tajā skaitā regulas 536/2014 8. panta 4. punktā, 14. panta 10. punktā, 19. panta 2. punkta ceturtajā daļā, 20. panta 7. punktā un 23. panta 4. punktā noteikto, ir tiesības apstrīdēt Veselības ministrijā. Veselības ministrijas lēmumu sponsors var pārsūdzēt tiesā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paredzēto Zāļu valsts aģentūras lēmuma apstrīdēšanas regulējumu nepieciešams izvērtēt un precizēt vai svītrot. Vēršam uzmanību, ka Ministru kabineta 2012. gada 31. jūlija noteikumu Nr. 537 “Zāļu valsts aģentūras nolikums” 8. un 9. punktā ir pietiekami precīzi noteikts par Zāļu valsts aģentūrā pieņemto lēmumu apstrīdēšanu. Skaidrojam, ka dažādos Ministru kabineta noteikumos nav jādublē Administratīvā procesa likumā (turpmāk – APL) vai iestādes nolikumā paredzētais regulējums par administratīvo aktu apstrīdēšanas kārtību. Turklāt šāda veida Ministru kabineta noteikumu normās nav pieļaujams uzskaitījums lēmumiem, kurus var apstrīdēt, jo atbilstoši APL apstrīdēt var jebkuru iestādes lēmumu, kuru var interpretēt kā administratīvo aktu.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Balsot un izteikt viedokli par konkrēto zāļu klīnisko pārbaudi vai ar zāļu klīnisko pārbaudes norisi saistītiem jautājumiem drīkst tikai no konkrētā pētnieka, sponsora, no pētījuma centra un personām, kas finansē zāļu klīnisko pārbaudi neatkarīgie komitejas locekļi.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26. punkta otrajā teikumā un 27. punktā neskaidrot Eiropas Parlamenta un Padomes 2014. gada 16. aprīļa Regulas (ES) Nr. 536/2014 par cilvēkiem paredzēto zāļu klīniskajām pārbaudēm un ar ko atceļ Direktīvu 2001/20 EK 9. pantā ietvertās prasības, kas turklāt neatbilst noteikumu projekta 1. pielikumā minētajam, bet tā vietā izdarīt atbilstošu atsauci uz minēto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Prasības pētāmo zāļu un papildzāļu ražošanai un ievešanai nosaka normatīvie akti par zāļu ražošanu un kontroli. Eiropas Ekonomikas zonas dalībvalstīs izpētei pakļauta zāļu sērija, kas tiek pārvadāta no vienas dalībvalsts uz citu, var tikt nogādāta tieši uz pētījuma centru, ja pavaddokumentiem pievienots kvalificētas personas parakstīts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nav paredzēts īstenot Farmācijas likuma 5. panta 3. punktā ietverto pilnvarojumu, lūdzam svītrot noteikumu projekta VI nodaļu vai atbilstoši papildināt norādi par noteikumu projekta izdošanas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Informētā piekrišana, kas sniegta saskaņā ar regulas 536/2014 V nodaļu, kā arī uz šīs piekrišanas pamata dotajai atļaujai savu personas datu apstrādei, dod sponsoram, sponsora pārstāvjiem un pētniekam tiešu piekļuvi pacientu medicīniskajiem dokumentiem, tostarp personas datiem un elektroniskiem ierakstiem, lai iegūtu informāciju par pētījuma subjekta veselības stāvokli, kas nepieciešams kvalitātes kontrolei un uzraudzībai, kuru veic minētās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ietvertais regulējums paredz plašu privātpersonu datu apstrādi, tai skaitā nosacījumus (datu kategorijas, subjektus, kam ir tiesības apstrādāt personas datus u.tml.) īpašu kategorijas personas datu - veselības datu-, apstrādei, lūdzam, pamatojoties uz  Ministru kabineta 2021. gada 7. septembra noteikumu Nr. 606 “Ministru kabineta kārtības rullis” 52.2.10. apakšpunktu, nodrošināt, ka noteikumu projekts tiek saskaņots ar Datu valsts inspekciju, virzot atkārtotai saskaņošanai TAP portālā noteikumu projektu, norādot Datu valsts inspekciju kā saskaņošanas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Pētāmās personas nāves gadījumā atlīdzības saņemšanai pie apdrošinātāja ir tiesīgs vērsties pētāmās personas mantinieks, prasījumam pievienojot mantojuma apliecību un zaudējumus apliecinošus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noteikumu projekta 54. punkta būtību un mērķi. Skaidrojam, ka mantinieks var nebūt pētāmās personas tuvinieks. Mantinieks var būt, piemēram, arī ar testamentu iecelts mantinieks, kas var būt, piemēram, juridiska persona, un var nebūt pētāmās personas tuvs radinieks, kā piemēram, bērns, laulātais vai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Minimālais atbildības limits sponsora un pētnieka profesionālās darbības civiltiesiskās atbildības apdrošināšanas līgumā ir apdrošināšanas līguma noslēgšanas dienā Latvijā noteikto 48 minimālo mēneša darba algu apmērs zaudējumu atlīdzībai par ikvienas pētāmās personas veselībai vai dzīvībai nodarītā kaitējuma dēļ katrā apdrošināšanas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pamatotu skaidrojumu par noteikumu projekta 56. punktu. Proti, vēršam uzmanību, ka šobrīd ar attiecīgo normu tiek paredzēts, ka minimālais civiltiesiskās atbildības limits ir 48 minimālās mēneša darba algas katrā apdrošināšanas gadījumā, kas ir aptuveni 30 tūkstoši </w:t>
            </w:r>
            <w:r w:rsidR="00000000" w:rsidRPr="00000000" w:rsidDel="00000000">
              <w:rPr>
                <w:i w:val="1"/>
                <w:rtl w:val="0"/>
              </w:rPr>
              <w:t xml:space="preserve">euro</w:t>
            </w:r>
            <w:r w:rsidR="00000000" w:rsidRPr="00000000" w:rsidDel="00000000">
              <w:rPr>
                <w:rtl w:val="0"/>
              </w:rPr>
              <w:t xml:space="preserve">. Lai gan noteikumu projekta anotācijā, kā viens no piemēriem limita izvēlei, ir norādīta kompensācija par vakcīnas pret COVID-19 infekciju blakusparādību izraisītu smagu vai vidēji smagu kaitējumu pacienta veselībai vai dzīvība, tomēr šajā gadījumā kompensācija par smagu kaitējumu veselībai vai dzīvībai ir paredzēta no 50 000-142 290 </w:t>
            </w:r>
            <w:r w:rsidR="00000000" w:rsidRPr="00000000" w:rsidDel="00000000">
              <w:rPr>
                <w:i w:val="1"/>
                <w:rtl w:val="0"/>
              </w:rPr>
              <w:t xml:space="preserve">euro</w:t>
            </w:r>
            <w:r w:rsidR="00000000" w:rsidRPr="00000000" w:rsidDel="00000000">
              <w:rPr>
                <w:rtl w:val="0"/>
              </w:rPr>
              <w:t xml:space="preserve"> apmērā - tātad krietni lielāka, kā paredz noteikumu projekts. Vienlaikus anotācijā tiek norādīts, ka zāļu vai maziejaukšanās klīniskās pārbaudēs salīdzinājumā ar parasto klīnisko praksi, riski ir augstāki un drošība mazāka. Turklāt arī Pacientu tiesību likuma 16. panta otrā daļa paredz, ka pacientam ir tiesības saņemt atlīdzību par viņa dzīvībai vai veselībai nodarīto kaitējumu (arī morālo kaitējumu) — nodarītā kaitējuma apmērā, bet ne vairāk kā 142 290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saprotams pamatojums, kādēļ 56. punktā izvēlēts 48 minimālo mēneša darba algu apmērs, ja tas kopā veido krietni mazāku atlīdzības limitu naudas izteiksmē kā klīniskajos gadījumos, vienlaikus pastāvot augstākam riskam pētāmās personas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Civiltiesiskās atbildības apdrošināšanas līgumā jāparedz atlīdzināt sekojošus zaudējumus 56. punktā norādītā pilna atbildības limita apmērā, nenosakot apakšlimitus, pētāmās personas veselībai vai dzīvībai nodarītā kaitējuma dēļ, veicot zāļu klīnisko pārbaudi vai maziejaukšanās klīnisko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saprotama noteikumu projekta 57. punkta būtība (tai skaitā, vai normā norādītais uzskaitījums ir izsmeļošs vai tikai kā piemēri zaudējumu veidiem), nepieciešamība un mērķis, tādēļ lūdzam sniegt atbilstošu skaidrojumu noteikumu projekta anotācijā vai precizēt minēto noteikumu projekta punktu. Norādām, ka attiecīgā norma paredz, kādi zaudējumi ir atlīdzināmi, tādējādi secināms, ka minētie zaudējumi ir finansiāla rakstura. Taču civiltiesiskās apdrošināšanas mērķis ir atlīdzināt nodarīto kaitējumu pētāmās personas veselībai un dzīvībai tās plašākā izpratnē. Savukārt anotācijā, nekas nav minēts par norādītajiem zaudējumiem, taču ir vairākkārt pieminēta atlīdzība par pētāmai personai nodarītajiem nemateriālajiem zaudējumiem. Līdz ar to nav saprotams, kādēļ ir uzskaitīti tikai konkrēti materiālie zaudējumi, kā arī vai un kā atlīdzināms, ja ir nodarīts dažāda smaguma kaitējums (piem., sakropļojums, invaliditāte un ne tikai) veselībai. Tāpat ir jautājums par morālo kaitējumu (kā, piem., to paredz Pacientu tiesību likuma 16.panta otrās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Klīniskās pārbaudes atbilstību labas klīniskās prakses prasībām vērtē Zāļu valsts aģentūra, ņemot vērā Komisijas 2017. gada 24. marta īstenošanas regulā (ES) 2017/556 par detalizētu labas klīniskās prakses inspekcijas procedūru kārtību saskaņā ar Eiropas Parlamenta un Padomes Regulu (ES) Nr. 536/2014 (turpmāk – īstenošanas regula 2017/556) noteiktajām prasībām un vadoties pēc Eiropas Komisijas vadlīnijām par labas klīniskās prakses inspekcijām.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59. punktā norādīt Komisijas 2017. gada 24. marta īstenošanas regulas (ES) 2017/556 par detalizētu labas klīniskās prakses inspekcijas procedūru kārtību saskaņā ar Eiropas Parlamenta un Padomes Regulu (ES) Nr. 536/2014 vienības, kas paredz attiecīgās prasības,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Klīniskās pārbaudes atbilstību labas klīniskās prakses prasībām vērtē Zāļu valsts aģentūra, ņemot vērā Komisijas 2017. gada 24. marta īstenošanas regulā (ES) 2017/556 par detalizētu labas klīniskās prakses inspekcijas procedūru kārtību saskaņā ar Eiropas Parlamenta un Padomes Regulu (ES) Nr. 536/2014 (turpmāk – īstenošanas regula 2017/556) noteiktajām prasībām un vadoties pēc Eiropas Komisijas vadlīnijām par labas klīniskās prakses inspekcijām.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108 131. punktu, lūdzam svītrot noteikumu projekta 59. un 24. punktā ietvertās atsauces uz Eiropas Komisijas vadlīnijām par labas klīniskās prakses inspekcijām, kā arī labas klīniskās prakses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Zāļu valsts aģentūras amatpersonām ir tiesības iepazīties ar pacientu medicīniskajiem dokumentiem, tostarp elektroniskiem ierakstiem, lai iegūtu informāciju par pētāmās personas veselības stāvokli, kas nepieciešama Zāļu valsts aģentūrai inspekcijas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 noteikumu projekta 64. punktu kā Komisijas 2017. gada 24. marta Īstenošanas Regulas (ES) 2017/556 par detalizētu labas klīniskās prakses inspekcijas procedūru kārtību saskaņā ar Eiropas Parlamenta un Padomes Regulu (ES) Nr. 536/2014 10. panta 3. 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iesniegtie koriģējošie un preventīvie pasākumi nav pietiekami, lai izpildītu gala ziņojumā noteiktās prasības, Zāļu valsts aģentūra var paplašināt inspekcijas tvērumu vai veikt atkārtotu inspekciju, vai informēt par inspekcijas rezultātiem citas EEZ valstu kompetentās institūcijas un Eiropas Zāļu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75. punktu, skaidri norādot, vai vērtēti tiek koriģējošie un preventīvie pasākumi, kuri ietverti attiecīgajā iesniegtajā plānā, vai vērtēta tiek šo plānu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regulas 536/2014 un šo noteikumu neievērošanu tiek noteikta Farmācijas likumā paredzētā administratīvā atbildība.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81. punktu, jo attiecīgajai normai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Zāļu klīnisko pētījumu ētikas komiteja beziejaukšanās pētījuma atzinumu desmit darba dienu laikā nosūta iesniedzējam un Zāļu valsts aģentūrai, kas informāciju par atļauto pētījumu piecu darba dienu laikā ievieto savā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91. punktā un citos līdzīgos gadījumos norādīt atskaites punktu attiecīgo termiņu aprēķināšanai, tādējādi nodrošinot skaidras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projekta 13. punktā precizēt norādi "trīs darba dienu laikā pēc iespējas", jo nav skaidrs vai vārdi "pēc iespējas" norāda atskaites punktu trīs darba dienu laika termiņa aprēķināšanai vai minētā norāde saprotama tādējādi, ka attiecīgās darbības jāveic nekavējoties (proti, pēc iespējas), bet ne vēlāk kā trīs darba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Atzīt par spēku zaudējušiem Ministru kabineta 2010. gada 23. marta noteikumus Nr. 289 “Noteikumi par zāļu klīniskās izpētes un lietošanas novērojumu veikšanas kārtību, pētāmo zāļu marķēšanu un kārtību, kādā tiek vērtēta zāļu klīniskās izpētes atbilstība labas klīniskās prakses prasībām” (Latvijas Vēstnesis, 2010, 51./52.nr.).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95. punkts paredz atzīt par spēku zaudējušiem Ministru kabineta 2010. gada 23. marta noteikumus Nr. 289 “Noteikumi par zāļu klīniskās izpētes un lietošanas novērojumu veikšanas kārtību, pētāmo zāļu marķēšanu un kārtību, kādā tiek vērtēta zāļu klīniskās izpētes atbilstība labas klīniskās prakses prasībām” (turpmāk – noteikumi). Vēršam uzmanību, ka šobrīd spēkā esošie noteikumi ir izdoti saskaņā ar Farmācijas likuma 5. panta 3., 6. un 15. punktu. Saistībā ar minēto, ja noteikumu projektā netiek iekļauts regulējums, kas atbilst Farmācijas likuma 5. panta 3. un 6. punktā noteiktajam pilnvarojumam, lūdzam noteikumu projekta anotācijas IV sadaļā sniegt izvērstu skaidrojumu, kad un ar kādiem normatīvajiem aktiem šis Farmācijas likuma pilnvarojums tiks izpildīts.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ieviestas Eiropas Parlamenta un Padomes 2016. gada 27. aprīļa regulas (ES) 2016/679 par fizisku personu aizsardzību attiecībā uz personas datu apstrādi un šādu datu brīvu apriti un ar ko atceļ Direktīvu 95/46/EK (Vispārīgā datu aizsardzības regula) prasības, lūdzam, pamatojoties uz Ministru kabineta 2021. gada 7. septembra noteikumu Nr. 617 "Tiesību akta projekta sākotnējās ietekmes izvērtēšanas kārtība" (turpmāk - noteikumi Nr. 617) 9.19. apakšpunktu atbilstoši papildināt noteikumu projekta anotācijas 5. sadaļu ar informāciju par minētās regulas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pārskatīt un precizēt noteikumu projekta 5.4. sadaļas 1. tabulā ietverto informāciju par Eiropas Savienības regulu ieviešanu vai sniegt skaidrojumu, kā attiecīgo regulu prasības ir ieviestas noteikumu projektā. Norādām, ka šobrīd nav skaidrs, kā Komisijas 2017. gada 23. maija deleģētās regulas Nr. 2017/1569, ar ko papildina Eiropas Parlamenta un Padomes regulu Nr. 536/2014, sīkāk norādot pētāmo cilvēkiem paredzēto zāļu labas ražošanas prakses principus un pamatnostādnes un inspekciju kārtību, 2. panta prasības (paredz terminu skaidrojumus) ieviestas noteikumu projekta 60. punktā. Tāpat līdzīgi nav skaidrs, kā 7. panta 1. punkta "c" apakšpunkta prasības ieviestas noteikumu projekta 78. punktā.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cilvēkiem paredzēto zāļu klīniskajiem pētījumiem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(turpmāk - noteikumi Nr.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Attiecīgi lūdzam atbilstoši precizēt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"Cilvēkiem paredzēto zāļu klīnisko pētījumu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un prasības, kādā Zāļu valsts aģentūra izsniedz un atsauc minēto atļauju klīniskās pārbaudes veikšanai un aptur vai atjauno klīnisko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noteikumu projekta 1.3. apakšpunktu, svītrojot vārdu "minēto", ņemot vērā, ka iepriekš noteikumu projektā nav minētas atļaujas.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Zāļu valsts aģentūra labas klīniskās prakses inspekciju (turpmāk - inspekcija) veic ievērojot īstenošanas regulas 2017/556 2. pantā noteiktajos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60. punktu, piemēram, svītrojot vārdu "ievērojot".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Procentuāls maksas sadalījums par darbu klīniskās pārbaudes (grozījumu) pieteikuma izskatīšanā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noteikumu projekta 2. pielikumā norādīt uz </w:t>
            </w:r>
            <w:r w:rsidR="00000000" w:rsidRPr="00000000" w:rsidDel="00000000">
              <w:rPr>
                <w:u w:val="single"/>
                <w:rtl w:val="0"/>
              </w:rPr>
              <w:t xml:space="preserve">Zāļu klīnisko pētījumu</w:t>
            </w:r>
            <w:r w:rsidR="00000000" w:rsidRPr="00000000" w:rsidDel="00000000">
              <w:rPr>
                <w:rtl w:val="0"/>
              </w:rPr>
              <w:t xml:space="preserve"> ētikas komiteju.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22.06.2023.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22.06.2023.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