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23-TA-167: Noteikumu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Eiropas Savienības kohēzijas politikas programmas 2021. – 2027. gadam 4.3.6. specifiskā atbalsta mērķa “Veicināt nabadzības vai sociālās atstumtības riskam pakļauto cilvēku, tostarp vistrūcīgāko un bērnu, sociālo integrāciju” 4.3.6.1. pasākuma „Speciālistu, kuru profesionālā darbība saistīta ar bērnu tiesību aizsardzības nodrošināšanu, profesionālās kvalifikācijas pilnveide un bērnu likumisko pārstāvju atbildības stiprināšana bērnu tiesību aizsardzības sistēmas reorganizācijas ietvaros” īstenošanas noteikumi</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Noteikumu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Finanšu ministrija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08.11.2023.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Saskaņots ar priekšlikumiem</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18.1.1. līdz brīdim, kad tiks apstiprināta atbildīgās iestādes izstrādātā personāla izmaksu vienotās likmes un tās piemērošanas metodika (turpmāk – personāla izmaksu metodika), – finansējuma saņēmēja projekta vadības un īstenošanas personāla atlīdzības izmaksas un sadarbības partnera projekta īstenošanas personāla atlīdzības izmaksas saskaņā ar Valsts un pašvaldību institūciju amatpersonu un darbinieku atlīdzības likumu, izņemot virsstundas. Ja personāla iesaiste projektā ir nodrošināta saskaņā ar daļlaika izmaksu attiecināmības principu, attiecināma ir ne mazāka kā 30 procentu noslodze;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papildināt: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gan MK noteikumos, gan anotācijā ar nosacījumu, ka personāla atlīdzības metodika tiks saskaņota ar vadošo iestādi;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 anotācijā norādīt provizorisko termiņu, kādā tiks izstrādāta personāla izmaksu metodika.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18.3.1. iepirkuma līgumu izmaksas šo noteikumu 16. punktā minēto atbalstāmo darbību īstenošanai;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Pateicamies par sniegto skaidrojumu izziņā attiecībā uz iepriekš sniegto Finanšu ministrijas iebildumu, taču atkārtoti aicinām skaidri atrunāt MK noteikumos vai anotācijā, kādas iepirkumu līgumu izmaksas paredzētas  MK noteikumu projekta16.4.apakšpunktā minēto atbalstāmo darbību īstenošanai, nepieciešamības gadījumā atsaucoties uz MK noteikumu projekta 19.punktu.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18.3.3. normatīvajos aktos, kas nosaka kārtību, kādā veicama obligātā veselības pārbaude paredzēto veselības pārbaužu izmaksas finansējuma saņēmēja projekta vadības un īstenošanas personālam un sadarbības partnera projekta īstenošanas personālam, ja tās nav iekļautas šo noteikumu 19.4. apakšpunktā minētajās veselības apdrošināšanas izmaksās;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Aicinām obligāto veselības pārbaužu izmaksas paredzēt no netiešajām attiecināmajām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18.3.4. līdz personāla izmaksu metodikas apstiprināšanai – redzes korekcijas līdzekļu kompensācija finansējuma saņēmēja projekta vadības un īstenošanas personālam un sadarbības partnera projekta īstenošanas personālam, ja tā nav iekļauta, šo noteikumu 19.4. apakšpunktā minētajās veselības apdrošināšanas izmaksās.</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7.15.2.2.apakšpunktā ietverto atsauci redzes korekcijas līdzekļu kompensācijas izmaksas ir uzskatāmas par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pārskatīt redakciju, līdz attiecīgās metodikas izstrādei šīs izmaksas iekļaujot pie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19.4. līdz personāla izmaksu metodikas apstiprināšanai veselības apdrošināšanu var paredzēt finansējuma saņēmēja projekta vadības un īstenošanas personālam un sadarbības partnera projekta īstenošanas personālam. Ja personāls ir nodarbināts normālu darba laiku, veselības apdrošināšanas izmaksas ir attiecināmas 100 procentu apmērā. Ja personāls ir nodarbināts nepilnu darba laiku, veselības apdrošināšanas izmaksas nosakāmas atbilstoši nepilnā darba laika noslodzei. Ja personāla atlīdzībai piemēro daļlaika izmaksu attiecināmības principu, veselības apdrošināšanas izmaksas nosakāmas atbilstoši daļlaika noslodzei. Veselības apdrošināšanas izmaksas ir attiecināmas tikai laikposmā, kad personāls ir nodarbināts projektā;</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Vēršam uzmanību, ka saskaņā ar Finanšu ministrijas vadlīniju Nr.1.2. "Vadlīnijas attiecināmo izmaksu noteikšanai Eiropas Savienības kohēzijas politikas programmas 2021.-2027.gada plānošanas periodā" 7.15.2.3.apakšpunktā ietverto atsauci apdrošināšanas izmaksas ir uzskatāmas par Tiešajām attiecināmajām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aicinām pārskatīt redakciju, līdz attiecīgās metodikas izstrādei šīs izmaksas iekļaujot pie Tiešajām attiecināmajās personāla izmaksām.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6.</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26.2.1.1. tas ir sertificēts un iekļauts sertificētu supervīzijas pakalpojuma sniedzēju reģistrā, kas publicēts tās organizācijas tīmekļa vietnē, kura pārstāv Latviju Eiropas nacionālo supervizoru organizāciju asociācijā ANSE (</w:t>
            </w:r>
            <w:r w:rsidR="00000000" w:rsidRPr="00000000" w:rsidDel="00000000">
              <w:rPr>
                <w:i w:val="1"/>
                <w:rtl w:val="0"/>
              </w:rPr>
              <w:t xml:space="preserve">Association of National Organisations for Supervision in Europe</w:t>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izvērtēt, vai būtu nosakāmas atšķirīgas prasības supervīzijas pakalpojumu sniedzējiem, piemērojot dažādu normatīvo aktu regulējumu, ņemot vērā, ka saskaņā ar profesionālo maģistra grāda kvalifikāciju šāda mācību programma atbilst Eiropas Nacionālo supervīzijas organizāciju asociācijas (ANSE) vadlīnijām un supervizora profesijas standarta prasībām.</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Airisa Žiga (CFLA)</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Noteikumu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30.5. maksājuma pieprasījumu un dalībnieku pārskata sagatavošanas nolūkā saskaņā ar Eiropas Parlamenta un Padomes 2021. gada 24. jūnija regulas (ES) Nr. 2021/1057, ar ko izveido Eiropas Sociālo fondu Plus (ESF+) un atceļ Regulu (ES) Nr. 1296/2013 I pielikumu un Ministru kabineta 2023. gada 21. marta noteikumu Nr.135 “Eiropas Savienības fondu projektu pārbaužu veikšanas kārtība 2021.– 2027. gada plānošanas periodā” 1.pielikumu veic pēcpārbaudi sadarbības partnera veiktajai šo noteikumu 3.1. un 3.2. apakšpunktā minēto mērķa grupas personu atbilstības pārbaudei, apstrādājot sadarbības partnera iesniegtos šo noteikumu 24.2.9. apakšpunktā minētos personas datus, uzskaita un iesniedz sadarbības iestādē apkopotus datus par atbalstu saņēmušām šo noteikumu 3.1. un 3.2. apakšpunktā minētajām personām;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precizēt noteikumu projekta 30.5. apakšpunktu, lai būtu nepārprotami skaidrs no normas izrietošais pienākums finansējuma saņēmējam. No esošās redakcijas izriet, ka finansējuma saņēmējam jāveic pēcpārbaudes sadarbības partnera veiktajai mērķa grupas personu atbilstības pārbaudei saskaņā ar Eiropas Parlamenta un Padomes 2021. gada 24. jūnija Regulas (ES) 2021/1057, ar ko izveido Eiropas Sociālo fondu Plus (ESF+) un atceļ Regulu (ES) Nr. 1296/2013 (turpmāk - Regula 2021/1057). I pielikumu un Ministru kabineta 2023. gada 21. marta noteikumu Nr.135 “Eiropas Savienības fondu projektu pārbaužu veikšanas kārtība 2021.– 2027. gada plānošanas periodā” (turpmāk - MK noteikumi Nr. 135) 1. pielikumu. </w:t>
            </w:r>
            <w:r w:rsidR="00000000" w:rsidRPr="00000000" w:rsidDel="00000000">
              <w:rPr>
                <w:u w:val="single"/>
                <w:rtl w:val="0"/>
              </w:rPr>
              <w:t xml:space="preserve">Tomēr vēršam uzmanību, ka atbilstoši minētajiem normatīvajiem aktiem finansējuma saņēmējam jāiesniedz dati (dalībnieku pārskats) sadarbības iestādē</w:t>
            </w:r>
            <w:r w:rsidR="00000000" w:rsidRPr="00000000" w:rsidDel="00000000">
              <w:rPr>
                <w:rtl w:val="0"/>
              </w:rPr>
              <w:t xml:space="preserve">. Attiecīgi, lai nodrošinātu dalībnieku pārskata iesniegšanu sadarbības iestādē un maksājumu pieprasījumu atbilstošu sagatavošanu, finansējuma saņēmējs veic sadarbības partnera iesniegto datu pēcpārbaudi, </w:t>
            </w:r>
            <w:r w:rsidR="00000000" w:rsidRPr="00000000" w:rsidDel="00000000">
              <w:rPr>
                <w:u w:val="single"/>
                <w:rtl w:val="0"/>
              </w:rPr>
              <w:t xml:space="preserve">un atbilstoši Regulas 2021/1057 I pielikumam un MK noteikumu Nr.135 1.pielikumam iesniedz sadarbības iestādē apkopotus datus par noteikumu projekta 3.1. un 3.2. apakšpunktā minētajām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Sintija Gedvila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8.</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Lūdzam "Dubultfinansējuma riska kontroles matricu"</w:t>
            </w:r>
            <w:r w:rsidR="00000000" w:rsidRPr="00000000" w:rsidDel="00000000">
              <w:rPr>
                <w:b w:val="1"/>
                <w:rtl w:val="0"/>
              </w:rPr>
              <w:t xml:space="preserve">  </w:t>
            </w:r>
            <w:r w:rsidR="00000000" w:rsidRPr="00000000" w:rsidDel="00000000">
              <w:rPr>
                <w:rtl w:val="0"/>
              </w:rPr>
              <w:t xml:space="preserve">precizēt nosaukumu uz "Demarkācijas matrica".</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Edgars Zandbergs (FM)</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9.</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 Tiesību akta projekta ietekme uz valsts budžetu un pašvaldību budžetiem</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Priekšlikums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Atkārtoti lūdzam anotācijas 3.sadaļas tabulas 1., 2. un 3.punkta, kā arī 1.1., 2.1. un 3.1.apakšpunkta 5. un 7.ailē norādīto finansējumu pārcelt uz minēto punktu un apakšpunktu 4. un 6.aili. Vienlaikus nepieciešams aizpildīt 5.1.apakšpunkta 8.aili.</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Olga Lasko (FM)</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23-TA-167</w:t>
    </w:r>
    <w:r>
      <w:br/>
    </w:r>
    <w:r w:rsidR="00000000" w:rsidRPr="00000000" w:rsidDel="00000000">
      <w:rPr>
        <w:rtl w:val="0"/>
      </w:rPr>
      <w:t xml:space="preserve">Izdrukāts 08.11.2023. 21.48</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23-TA-167</w:t>
    </w:r>
    <w:r>
      <w:br/>
    </w:r>
    <w:r w:rsidR="00000000" w:rsidRPr="00000000" w:rsidDel="00000000">
      <w:rPr>
        <w:rtl w:val="0"/>
      </w:rPr>
      <w:t xml:space="preserve">Izdrukāts 08.11.2023. 21.48</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Atzinumi_23-TA-167.docx</dc:title>
</cp:coreProperties>
</file>

<file path=docProps/custom.xml><?xml version="1.0" encoding="utf-8"?>
<Properties xmlns="http://schemas.openxmlformats.org/officeDocument/2006/custom-properties" xmlns:vt="http://schemas.openxmlformats.org/officeDocument/2006/docPropsVTypes"/>
</file>