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iebilst pret rīcības virziena "Kvalificētu darbinieku piesaiste"  pasākuma "Vienas pieturas aģentūras izveide augsti kvalificētu ārvalstu talantu piesaistei un informatīvā kampaņa" (11.lpp un 30.lpp, darbības rezultāts nr. 3.2.1.3.) iekļaušanu rīcības plānā, jo nav pietiekamas informācijas par to, kādu vienas pieturas aģentūru paredzēts izveidot un kādi būs tās veicamie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Āboliņa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“Cilvēkkapitāla attīstības stratēģija 2024.-2027.” sadaļā ”Kvalificētu darbinieku piesaiste“ (16. lpp.) un “Cilvēkkapitāla attīstības stratēģijas pasākumu plāna 3.sadaļas “Kvalificētu darbinieku piesaiste”  3.2.1.4.punktā (37.lpp.) ir ietverts pasākums "Pastiprināt atbildību par uzaicināto ārzemnieku uzturēšanās mērķa atbilstību norādītajam, kā arī paredzot atbildību par ārvalstnieka izbraukšanu no Šengenas zonas, veicot grozījumus spēkā esošajā normatīvajā regulējumā". Iekšlietu ministrija un Pilsonības un migrācijas lietu pārvalde ir noteiktas par atbildīgajām institūcijām šī pasākuma izpildē, savukārt, Ārlietu ministrija ir noteikta par līdzatbildīgo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2024. gada 8.jūnijā stājās spēkā likums "Grozījumi Imigrācijas likumā" (Nr. 490/Lp14), kas paredz pastiprināt ārzemnieku uzaicinātāju atbildību. Uzskatām, ka “Cilvēkkapitāla attīstības stratēģijas pasākumu plāna 3.sadaļas “Kvalificētu darbinieku piesaiste”  3.2.1.4.punkts ir svītrojams, jo attiecīgs pasākums ir veikts, sasniedzot paredzēto rezultātu. Attiecīgi lūdzam precizēt arī rīcības plāna “Cilvēkkapitāla attīstības stratēģija 2024.-2027.” sadaļu ”Kvalificētu darbinieku piesaiste“ (16 lpp.).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Zagoskina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01.07.2024.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