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1032 "Atkritumu poligonu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tehniski precizēt anotācijas 5.4. sadaļas 1. tabulā ietverto informāciju, norādot korektu </w:t>
            </w:r>
            <w:r w:rsidR="00000000" w:rsidRPr="00000000" w:rsidDel="00000000">
              <w:rPr>
                <w:u w:val="single"/>
                <w:rtl w:val="0"/>
              </w:rPr>
              <w:t xml:space="preserve">projekta</w:t>
            </w:r>
            <w:r w:rsidR="00000000" w:rsidRPr="00000000" w:rsidDel="00000000">
              <w:rPr>
                <w:rtl w:val="0"/>
              </w:rPr>
              <w:t xml:space="preserve"> vienību, kurā pārņemts Eiropas Parlamenta un Padomes 2018.gada 30.maija Direktīvas Nr. 2018/850 ar ko groza Direktīvu 1999/31/EK par atkritumu poligoniem, attiecīgā vienība, proti, </w:t>
            </w:r>
            <w:r w:rsidR="00000000" w:rsidRPr="00000000" w:rsidDel="00000000">
              <w:rPr>
                <w:u w:val="single"/>
                <w:rtl w:val="0"/>
              </w:rPr>
              <w:t xml:space="preserve">projekta 4. punktā</w:t>
            </w:r>
            <w:r w:rsidR="00000000" w:rsidRPr="00000000" w:rsidDel="00000000">
              <w:rPr>
                <w:rtl w:val="0"/>
              </w:rPr>
              <w:t xml:space="preserve"> (noteikumu 87.</w:t>
            </w:r>
            <w:r w:rsidR="00000000" w:rsidRPr="00000000" w:rsidDel="00000000">
              <w:rPr>
                <w:vertAlign w:val="superscript"/>
                <w:rtl w:val="0"/>
              </w:rPr>
              <w:t xml:space="preserve">9</w:t>
            </w:r>
            <w:r w:rsidR="00000000" w:rsidRPr="00000000" w:rsidDel="00000000">
              <w:rPr>
                <w:rtl w:val="0"/>
              </w:rPr>
              <w:t xml:space="preserve"> punktā).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20.12.2023. 21.51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20.12.2023. 21.51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